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NoticeAgency"/>
      </w:pPr>
      <w:r>
        <w:rPr>
          <w:rFonts w:ascii="黑体" w:hAnsi="黑体" w:eastAsia="黑体" w:cs="黑体"/>
          <w:color w:val="000000"/>
          <w:sz w:val="32"/>
        </w:rPr>
        <w:t>北京市教育委员会</w:t>
      </w:r>
    </w:p>
    <w:p>
      <w:pPr>
        <w:pStyle w:val="NoticeDocNo"/>
      </w:pPr>
      <w:r>
        <w:rPr>
          <w:rFonts w:ascii="仿宋_GB2312" w:hAnsi="仿宋_GB2312" w:eastAsia="仿宋_GB2312" w:cs="仿宋_GB2312"/>
          <w:color w:val="000000"/>
          <w:sz w:val="32"/>
        </w:rPr>
        <w:t>京教函〔2026〕432号</w:t>
      </w:r>
    </w:p>
    <w:p>
      <w:pPr>
        <w:pStyle w:val="Title"/>
      </w:pPr>
      <w:r>
        <w:rPr>
          <w:rFonts w:ascii="黑体" w:hAnsi="黑体" w:eastAsia="黑体" w:cs="黑体"/>
          <w:color w:val="000000"/>
          <w:sz w:val="32"/>
        </w:rPr>
        <w:t>北京市教育委员会关于开展2026年北京高校“优质本科课程”建设的通知</w:t>
      </w:r>
    </w:p>
    <w:p>
      <w:pPr>
        <w:ind w:firstLine="0"/>
        <w:jc w:val="left"/>
      </w:pPr>
      <w:r>
        <w:rPr>
          <w:rFonts w:ascii="仿宋_GB2312" w:hAnsi="仿宋_GB2312" w:eastAsia="仿宋_GB2312" w:cs="仿宋_GB2312"/>
          <w:color w:val="000000"/>
          <w:sz w:val="32"/>
        </w:rPr>
        <w:t>各有关高等学校：</w:t>
      </w:r>
    </w:p>
    <w:p>
      <w:pPr>
        <w:ind w:firstLine="640"/>
        <w:jc w:val="both"/>
      </w:pPr>
      <w:r>
        <w:rPr>
          <w:rFonts w:ascii="仿宋_GB2312" w:hAnsi="仿宋_GB2312" w:eastAsia="仿宋_GB2312" w:cs="仿宋_GB2312"/>
          <w:color w:val="000000"/>
          <w:sz w:val="32"/>
        </w:rPr>
        <w:t>为深入贯彻党的二十大关于加快建设教育强国的战略部署，落实《教育强国建设规划纲要（2024—2035年）》相关要求，市教委决定2026年继续开展北京高校“优质本科课程”项目建设工作。现将有关事项通知如下：</w:t>
      </w:r>
    </w:p>
    <w:p>
      <w:pPr>
        <w:pStyle w:val="NoticeHeading"/>
        <w:spacing w:lineRule="exact" w:line="560" w:before="0" w:after="0"/>
      </w:pPr>
      <w:r>
        <w:rPr>
          <w:rFonts w:ascii="SimHei" w:hAnsi="SimHei" w:eastAsia="SimHei" w:cs="SimHei"/>
          <w:b w:val="0"/>
          <w:color w:val="000000"/>
          <w:sz w:val="32"/>
        </w:rPr>
        <w:t>一、建设目标</w:t>
      </w:r>
    </w:p>
    <w:p>
      <w:pPr>
        <w:ind w:firstLine="640"/>
        <w:jc w:val="both"/>
      </w:pPr>
      <w:r>
        <w:rPr>
          <w:rFonts w:ascii="仿宋_GB2312" w:hAnsi="仿宋_GB2312" w:eastAsia="仿宋_GB2312" w:cs="仿宋_GB2312"/>
          <w:color w:val="000000"/>
          <w:sz w:val="32"/>
        </w:rPr>
        <w:t>遴选建设一批能够体现北京高等教育优势特色、教学成效显著、适用范围广、受学生欢迎的优质课程，支持国家级一流本科课程共享，有力支撑高校专业发展建设和实践创新教育改革，不断提升北京高等教育人才培养质量，紧密服务北京城市功能定位和产业结构升级，为首都经济社会发展提供助力。</w:t>
      </w:r>
    </w:p>
    <w:p>
      <w:pPr>
        <w:pStyle w:val="NoticeHeading"/>
        <w:spacing w:lineRule="exact" w:line="560" w:before="0" w:after="0"/>
      </w:pPr>
      <w:r>
        <w:rPr>
          <w:rFonts w:ascii="SimHei" w:hAnsi="SimHei" w:eastAsia="SimHei" w:cs="SimHei"/>
          <w:b w:val="0"/>
          <w:color w:val="000000"/>
          <w:sz w:val="32"/>
        </w:rPr>
        <w:t>二、建设方案</w:t>
      </w:r>
    </w:p>
    <w:p>
      <w:pPr>
        <w:ind w:firstLine="640"/>
        <w:jc w:val="both"/>
      </w:pPr>
      <w:r>
        <w:rPr>
          <w:rFonts w:ascii="仿宋_GB2312" w:hAnsi="仿宋_GB2312" w:eastAsia="仿宋_GB2312" w:cs="仿宋_GB2312"/>
          <w:color w:val="000000"/>
          <w:sz w:val="32"/>
        </w:rPr>
        <w:t>北京高校“优质本科课程”由高校遴选申报，市教委评审确定后，予以支持建设。</w:t>
      </w:r>
    </w:p>
    <w:p>
      <w:pPr>
        <w:pStyle w:val="NoticeSubheading"/>
      </w:pPr>
      <w:r>
        <w:rPr>
          <w:rFonts w:ascii="仿宋_GB2312" w:hAnsi="仿宋_GB2312" w:eastAsia="仿宋_GB2312" w:cs="仿宋_GB2312"/>
          <w:color w:val="000000"/>
          <w:sz w:val="32"/>
        </w:rPr>
        <w:t>（一）申报条件</w:t>
      </w:r>
    </w:p>
    <w:p>
      <w:pPr>
        <w:ind w:firstLine="640"/>
        <w:jc w:val="both"/>
      </w:pPr>
      <w:r>
        <w:rPr>
          <w:rFonts w:ascii="仿宋_GB2312" w:hAnsi="仿宋_GB2312" w:eastAsia="仿宋_GB2312" w:cs="仿宋_GB2312"/>
          <w:color w:val="000000"/>
          <w:sz w:val="32"/>
        </w:rPr>
        <w:t>申报“优质本科课程”的课程，应面向本科生（含学历继续教育）开设，课程思政建设成果突出，广受学生欢迎，有一定的社会影响力。鼓励线上课程、线上线下相结合课程申报；支持较好利用人工智能技术赋能教学的课程、较好结合虚拟仿真项目和社会实践项目的课程、校际共享效果较好的课程申报；支持科学教育与人文教育融合的课程申报。原则上要求申报的课程由北京高校专任教师讲授，近5年在学校连续开设3年以上。</w:t>
      </w:r>
    </w:p>
    <w:p>
      <w:pPr>
        <w:pStyle w:val="NoticeSubheading"/>
      </w:pPr>
      <w:r>
        <w:rPr>
          <w:rFonts w:ascii="仿宋_GB2312" w:hAnsi="仿宋_GB2312" w:eastAsia="仿宋_GB2312" w:cs="仿宋_GB2312"/>
          <w:color w:val="000000"/>
          <w:sz w:val="32"/>
        </w:rPr>
        <w:t>（二）遴选方式</w:t>
      </w:r>
    </w:p>
    <w:p>
      <w:pPr>
        <w:ind w:firstLine="640"/>
        <w:jc w:val="both"/>
      </w:pPr>
      <w:r>
        <w:rPr>
          <w:rFonts w:ascii="仿宋_GB2312" w:hAnsi="仿宋_GB2312" w:eastAsia="仿宋_GB2312" w:cs="仿宋_GB2312"/>
          <w:color w:val="000000"/>
          <w:sz w:val="32"/>
        </w:rPr>
        <w:t>北京高校“优质本科课程”分为一般项目和重点项目两类。其中，一般项目由各校自行组织评审，报市教委审核备案后认定（申报限额详见附件1）；重点项目由学校推荐，原则上每校限报1项，市教委组织专家评审后确定。对于“优质本科课程”一般项目，各校可在申报限额外，申报1项学历继续教育项目、1项习近平分领域思想进课堂项目（该课程须为前期已向市教委报送过的总书记分领域思想拟推广课程）。</w:t>
      </w:r>
    </w:p>
    <w:p>
      <w:pPr>
        <w:pStyle w:val="NoticeHeading"/>
        <w:spacing w:lineRule="exact" w:line="560" w:before="0" w:after="0"/>
      </w:pPr>
      <w:r>
        <w:rPr>
          <w:rFonts w:ascii="SimHei" w:hAnsi="SimHei" w:eastAsia="SimHei" w:cs="SimHei"/>
          <w:b w:val="0"/>
          <w:color w:val="000000"/>
          <w:sz w:val="32"/>
        </w:rPr>
        <w:t>三、申报方式</w:t>
      </w:r>
    </w:p>
    <w:p>
      <w:pPr>
        <w:ind w:firstLine="640"/>
        <w:jc w:val="both"/>
      </w:pPr>
      <w:r>
        <w:rPr>
          <w:rFonts w:ascii="仿宋_GB2312" w:hAnsi="仿宋_GB2312" w:eastAsia="仿宋_GB2312" w:cs="仿宋_GB2312"/>
          <w:color w:val="000000"/>
          <w:sz w:val="32"/>
        </w:rPr>
        <w:t>各校填报《北京高校“优质本科课程”推荐汇总表》（详见附件2），课程负责人填写《北京高校优质本科课程申报书》（模板可从北京市教委高等教育处网页下载：https://jw.beijing.gov.cn/gjc/）。</w:t>
      </w:r>
    </w:p>
    <w:p>
      <w:pPr>
        <w:pageBreakBefore/>
        <w:ind w:firstLine="640"/>
        <w:jc w:val="both"/>
      </w:pPr>
      <w:r>
        <w:rPr>
          <w:rFonts w:ascii="仿宋_GB2312" w:hAnsi="仿宋_GB2312" w:eastAsia="仿宋_GB2312" w:cs="仿宋_GB2312"/>
          <w:color w:val="000000"/>
          <w:sz w:val="32"/>
        </w:rPr>
        <w:t>请各校于2026年11月20日前将申报材料（汇总表、申报书）的Word版本和盖章后的PDF版本放在一个文件夹中压缩后（命名为“学校名称-优质本科课程申报材料”）发送至电子邮箱gjc-chenlei@jw.beijing.gov.cn。学历继续教育课程须附上开课专业的教学进程表以及最近开课一学期的教学日历。</w:t>
      </w:r>
    </w:p>
    <w:p>
      <w:pPr>
        <w:pStyle w:val="NoticeSignature"/>
      </w:pPr>
      <w:r>
        <w:rPr>
          <w:rFonts w:ascii="仿宋_GB2312" w:hAnsi="仿宋_GB2312" w:eastAsia="仿宋_GB2312" w:cs="仿宋_GB2312"/>
          <w:color w:val="000000"/>
          <w:sz w:val="32"/>
        </w:rPr>
        <w:t>北京市教育委员会</w:t>
      </w:r>
    </w:p>
    <w:p>
      <w:pPr>
        <w:pStyle w:val="NoticeSignature"/>
      </w:pPr>
      <w:r>
        <w:rPr>
          <w:rFonts w:ascii="仿宋_GB2312" w:hAnsi="仿宋_GB2312" w:eastAsia="仿宋_GB2312" w:cs="仿宋_GB2312"/>
          <w:color w:val="000000"/>
          <w:sz w:val="32"/>
        </w:rPr>
        <w:t>2026年10月14日</w:t>
      </w:r>
    </w:p>
    <w:p>
      <w:pPr>
        <w:pStyle w:val="NoticeContact"/>
      </w:pPr>
      <w:r>
        <w:rPr>
          <w:rFonts w:ascii="仿宋_GB2312" w:hAnsi="仿宋_GB2312" w:eastAsia="仿宋_GB2312" w:cs="仿宋_GB2312"/>
          <w:color w:val="000000"/>
          <w:sz w:val="32"/>
        </w:rPr>
        <w:t>（联系人：陈雷；联系电话：55530149）</w:t>
      </w:r>
    </w:p>
    <w:p>
      <w:pPr>
        <w:pStyle w:val="NoticeContact"/>
      </w:pPr>
      <w:r>
        <w:rPr>
          <w:rFonts w:ascii="仿宋_GB2312" w:hAnsi="仿宋_GB2312" w:eastAsia="仿宋_GB2312" w:cs="仿宋_GB2312"/>
          <w:color w:val="000000"/>
          <w:sz w:val="32"/>
        </w:rPr>
        <w:t>（此件公开发布）</w:t>
      </w:r>
    </w:p>
    <w:sectPr w:rsidR="00FC693F" w:rsidRPr="0006063C" w:rsidSect="00034616">
      <w:pgSz w:w="11906" w:h="16838"/>
      <w:pgMar w:top="1417" w:right="1474" w:bottom="1417" w:left="1474" w:header="85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exact" w:line="560" w:before="0" w:after="0"/>
      <w:jc w:val="both"/>
    </w:pPr>
    <w:rPr>
      <w:rFonts w:ascii="仿宋_GB2312" w:hAnsi="仿宋_GB2312" w:eastAsia="仿宋_GB2312" w:cs="仿宋_GB2312"/>
      <w:b w:val="0"/>
      <w:color w:val="000000"/>
      <w:sz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560" w:lineRule="exact" w:before="0"/>
      <w:contextualSpacing/>
      <w:jc w:val="center"/>
    </w:pPr>
    <w:rPr>
      <w:rFonts w:asciiTheme="majorHAnsi" w:eastAsiaTheme="majorEastAsia" w:hAnsiTheme="majorHAnsi" w:cstheme="majorBidi" w:ascii="黑体" w:hAnsi="黑体" w:eastAsia="黑体" w:cs="黑体"/>
      <w:b w:val="0"/>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iceAgency">
    <w:name w:val="Notice Agency"/>
    <w:pPr>
      <w:spacing w:lineRule="exact" w:line="560" w:before="0" w:after="0"/>
      <w:jc w:val="center"/>
    </w:pPr>
    <w:rPr>
      <w:rFonts w:ascii="黑体" w:hAnsi="黑体" w:eastAsia="黑体" w:cs="黑体"/>
      <w:b w:val="0"/>
      <w:color w:val="000000"/>
      <w:sz w:val="32"/>
    </w:rPr>
  </w:style>
  <w:style w:type="paragraph" w:customStyle="1" w:styleId="NoticeDocNo">
    <w:name w:val="Notice DocNo"/>
    <w:pPr>
      <w:spacing w:lineRule="exact" w:line="560" w:before="0" w:after="0"/>
      <w:jc w:val="center"/>
    </w:pPr>
    <w:rPr>
      <w:rFonts w:ascii="仿宋_GB2312" w:hAnsi="仿宋_GB2312" w:eastAsia="仿宋_GB2312" w:cs="仿宋_GB2312"/>
      <w:b w:val="0"/>
      <w:color w:val="000000"/>
      <w:sz w:val="32"/>
    </w:rPr>
  </w:style>
  <w:style w:type="paragraph" w:customStyle="1" w:styleId="NoticeHeading">
    <w:name w:val="Notice Heading"/>
    <w:pPr>
      <w:keepNext/>
      <w:spacing w:lineRule="exact" w:line="560" w:before="0" w:after="0"/>
      <w:ind w:firstLine="640"/>
      <w:jc w:val="left"/>
    </w:pPr>
    <w:rPr>
      <w:rFonts w:ascii="SimHei" w:hAnsi="SimHei" w:eastAsia="SimHei" w:cs="SimHei"/>
      <w:b w:val="0"/>
      <w:color w:val="000000"/>
      <w:sz w:val="32"/>
    </w:rPr>
  </w:style>
  <w:style w:type="paragraph" w:customStyle="1" w:styleId="NoticeSubheading">
    <w:name w:val="Notice Subheading"/>
    <w:pPr>
      <w:spacing w:lineRule="exact" w:line="560" w:before="0" w:after="0"/>
      <w:ind w:firstLine="640"/>
      <w:jc w:val="both"/>
    </w:pPr>
    <w:rPr>
      <w:rFonts w:ascii="仿宋_GB2312" w:hAnsi="仿宋_GB2312" w:eastAsia="仿宋_GB2312" w:cs="仿宋_GB2312"/>
      <w:b w:val="0"/>
      <w:color w:val="000000"/>
      <w:sz w:val="32"/>
    </w:rPr>
  </w:style>
  <w:style w:type="paragraph" w:customStyle="1" w:styleId="NoticeSignature">
    <w:name w:val="Notice Signature"/>
    <w:pPr>
      <w:spacing w:lineRule="exact" w:line="560" w:before="0" w:after="0"/>
      <w:jc w:val="right"/>
    </w:pPr>
    <w:rPr>
      <w:rFonts w:ascii="仿宋_GB2312" w:hAnsi="仿宋_GB2312" w:eastAsia="仿宋_GB2312" w:cs="仿宋_GB2312"/>
      <w:b w:val="0"/>
      <w:color w:val="000000"/>
      <w:sz w:val="32"/>
    </w:rPr>
  </w:style>
  <w:style w:type="paragraph" w:customStyle="1" w:styleId="NoticeContact">
    <w:name w:val="Notice Contact"/>
    <w:pPr>
      <w:spacing w:lineRule="exact" w:line="560" w:before="0" w:after="0"/>
      <w:ind w:firstLine="640"/>
      <w:jc w:val="left"/>
    </w:pPr>
    <w:rPr>
      <w:rFonts w:ascii="仿宋_GB2312" w:hAnsi="仿宋_GB2312" w:eastAsia="仿宋_GB2312" w:cs="仿宋_GB2312"/>
      <w:b w:val="0"/>
      <w:color w:val="000000"/>
      <w:sz w:val="3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