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oticeAgency"/>
      </w:pPr>
      <w:r>
        <w:rPr>
          <w:rFonts w:ascii="黑体" w:hAnsi="黑体" w:eastAsia="黑体" w:cs="黑体"/>
          <w:color w:val="000000"/>
          <w:sz w:val="32"/>
        </w:rPr>
        <w:t>北京市教育委员会</w:t>
      </w:r>
    </w:p>
    <w:p>
      <w:pPr>
        <w:pStyle w:val="NoticeDocNo"/>
      </w:pPr>
      <w:r>
        <w:rPr>
          <w:rFonts w:ascii="仿宋_GB2312" w:hAnsi="仿宋_GB2312" w:eastAsia="仿宋_GB2312" w:cs="仿宋_GB2312"/>
          <w:color w:val="000000"/>
          <w:sz w:val="32"/>
        </w:rPr>
        <w:t>京教函〔2026〕438号</w:t>
      </w:r>
    </w:p>
    <w:p>
      <w:pPr>
        <w:pStyle w:val="Title"/>
      </w:pPr>
      <w:r>
        <w:rPr>
          <w:rFonts w:ascii="黑体" w:hAnsi="黑体" w:eastAsia="黑体" w:cs="黑体"/>
          <w:color w:val="000000"/>
          <w:sz w:val="32"/>
        </w:rPr>
        <w:t>北京市教育委员会关于开展2026年北京本科高校产学研深度协同育人平台建设工作的通知</w:t>
      </w:r>
    </w:p>
    <w:p>
      <w:pPr>
        <w:ind w:firstLine="0"/>
        <w:jc w:val="left"/>
      </w:pPr>
      <w:r>
        <w:rPr>
          <w:rFonts w:ascii="仿宋_GB2312" w:hAnsi="仿宋_GB2312" w:eastAsia="仿宋_GB2312" w:cs="仿宋_GB2312"/>
          <w:color w:val="000000"/>
          <w:sz w:val="32"/>
        </w:rPr>
        <w:t>各普通本科高校：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为学习贯彻党的二十大精神，深入实施科教兴国战略、人才强国战略、创新驱动发展战略，落实《教育强国建设规划纲要（2024—2035年）》要求，深化科教融汇、产教融合，完善高校实践科研育人体系，加快创新型、复合型、应用型人才培养，提升高等教育服务首都经济社会发展能力，经研究，开展北京本科高校产学研深度协同育人平台建设工作。现将有关事项通知如下：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一、建设目标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推动高校主动对接科技发展和产业需求，吸引科研机构、行业企业深度参与人才培养，构建高校与相关部门和企业专业共建、人才共育、过程共管、资源共创、责任共担、成果共享的长效机制，促进教育链与科技链、产业链、创新链的有效衔接，为经济社会高质量发展提供人才和智力支撑。产学研深度协同育人平台建设形式多样，包括但不限于现代产业学院、未来技术学院、创新创业学院、卓越人才联合培养平台、校外人才培养基地等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二、建设条件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产学研深度协同育人平台应具备以下条件：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（一）体现办学特色。平台应符合分类发展要求，体现高校内涵、特色、差异化发展理念，聚焦学校办学类型定位、优势特色，具有一定的建设基础，体现未来发展方向，能够有效发挥示范引领作用。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（二）服务首都发展。平台应紧密结合《北京市“十四五”时期高精尖产业发展规划》，围绕相关产业紧缺人才需要，与高水平科研院所等机构或行业优势龙头企业（原则上应为法人单位）开展产学研深度协同育人合作。鼓励平台对接卓越工程师培养、人工智能赋能教育等重点工作，支撑产业创新需求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（三）合作联系紧密。平台建设各方应具备紧密的合作基础，形成了先进的育人理念和科学的建设规划，平台发展目标明晰、措施具体、保障有力。平台建设各方具备可持续发展的长效合作机制及组织保障，能够共同建设和联合开发优质育人资源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（四）平台管理规范。平台应建立了比较完善的管理制度、激励机制和政策措施，吸引高校高级职称教师和机构企业高水平专业人员参与平台建设，形成较为完备的安全、保密、知识产权保护等培训及保障体系，能够有效保护学生的身心健康与安全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三、报送方式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根据上述条件，每校经公示后，向市教委推荐1个“产学研深度协同育人平台”。市教委将组织专家对学校推荐的“产学研深度协同育人平台”进行评审，经审定后正式公布结果。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四、报送要求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请各高校于2026年11月20日前将推荐表（附件1）、申报书（附件2）的Word版、盖章后PDF版、合作协议书以及其他相关支撑材料电子版一并发送至电子邮箱：bjsjwsjjx@163.com。发送后，请各高校及时联系市教委联系人确认，避免漏报。</w:t>
      </w:r>
    </w:p>
    <w:p>
      <w:pPr>
        <w:pStyle w:val="NoticeSignature"/>
      </w:pPr>
      <w:r>
        <w:rPr>
          <w:rFonts w:ascii="仿宋_GB2312" w:hAnsi="仿宋_GB2312" w:eastAsia="仿宋_GB2312" w:cs="仿宋_GB2312"/>
          <w:color w:val="000000"/>
          <w:sz w:val="32"/>
        </w:rPr>
        <w:t>北京市教育委员会</w:t>
      </w:r>
    </w:p>
    <w:p>
      <w:pPr>
        <w:pStyle w:val="NoticeSignature"/>
      </w:pPr>
      <w:r>
        <w:rPr>
          <w:rFonts w:ascii="仿宋_GB2312" w:hAnsi="仿宋_GB2312" w:eastAsia="仿宋_GB2312" w:cs="仿宋_GB2312"/>
          <w:color w:val="000000"/>
          <w:sz w:val="32"/>
        </w:rPr>
        <w:t>2026年10月19日</w:t>
      </w:r>
    </w:p>
    <w:p>
      <w:pPr>
        <w:pStyle w:val="NoticeContact"/>
      </w:pPr>
      <w:r>
        <w:rPr>
          <w:rFonts w:ascii="仿宋_GB2312" w:hAnsi="仿宋_GB2312" w:eastAsia="仿宋_GB2312" w:cs="仿宋_GB2312"/>
          <w:color w:val="000000"/>
          <w:sz w:val="32"/>
        </w:rPr>
        <w:t>（联系人：市教委高等教育处冯彦钧，55530151、18813012598；金红莲，55530145）</w:t>
      </w:r>
    </w:p>
    <w:p>
      <w:pPr>
        <w:pStyle w:val="NoticeContact"/>
      </w:pPr>
      <w:r>
        <w:rPr>
          <w:rFonts w:ascii="仿宋_GB2312" w:hAnsi="仿宋_GB2312" w:eastAsia="仿宋_GB2312" w:cs="仿宋_GB2312"/>
          <w:color w:val="000000"/>
          <w:sz w:val="32"/>
        </w:rPr>
        <w:t>（此件公开发布）</w:t>
      </w:r>
    </w:p>
    <w:sectPr w:rsidR="00FC693F" w:rsidRPr="0006063C" w:rsidSect="00034616">
      <w:pgSz w:w="11906" w:h="16838"/>
      <w:pgMar w:top="1417" w:right="1474" w:bottom="1417" w:left="1474" w:header="850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exact" w:line="560" w:before="0" w:after="0"/>
      <w:jc w:val="both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60" w:lineRule="exact" w:before="0"/>
      <w:contextualSpacing/>
      <w:jc w:val="center"/>
    </w:pPr>
    <w:rPr>
      <w:rFonts w:asciiTheme="majorHAnsi" w:eastAsiaTheme="majorEastAsia" w:hAnsiTheme="majorHAnsi" w:cstheme="majorBidi" w:ascii="黑体" w:hAnsi="黑体" w:eastAsia="黑体" w:cs="黑体"/>
      <w:b w:val="0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iceAgency">
    <w:name w:val="Notice Agency"/>
    <w:pPr>
      <w:spacing w:lineRule="exact" w:line="560" w:before="0" w:after="0"/>
      <w:jc w:val="center"/>
    </w:pPr>
    <w:rPr>
      <w:rFonts w:ascii="黑体" w:hAnsi="黑体" w:eastAsia="黑体" w:cs="黑体"/>
      <w:b w:val="0"/>
      <w:color w:val="000000"/>
      <w:sz w:val="32"/>
    </w:rPr>
  </w:style>
  <w:style w:type="paragraph" w:customStyle="1" w:styleId="NoticeDocNo">
    <w:name w:val="Notice DocNo"/>
    <w:pPr>
      <w:spacing w:lineRule="exact" w:line="560" w:before="0" w:after="0"/>
      <w:jc w:val="center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customStyle="1" w:styleId="NoticeHeading">
    <w:name w:val="Notice Heading"/>
    <w:pPr>
      <w:keepNext/>
      <w:spacing w:lineRule="exact" w:line="560" w:before="0" w:after="0"/>
      <w:ind w:firstLine="640"/>
      <w:jc w:val="left"/>
    </w:pPr>
    <w:rPr>
      <w:rFonts w:ascii="SimHei" w:hAnsi="SimHei" w:eastAsia="SimHei" w:cs="SimHei"/>
      <w:b w:val="0"/>
      <w:color w:val="000000"/>
      <w:sz w:val="32"/>
    </w:rPr>
  </w:style>
  <w:style w:type="paragraph" w:customStyle="1" w:styleId="NoticeSubheading">
    <w:name w:val="Notice Subheading"/>
    <w:pPr>
      <w:spacing w:lineRule="exact" w:line="560" w:before="0" w:after="0"/>
      <w:ind w:firstLine="640"/>
      <w:jc w:val="both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customStyle="1" w:styleId="NoticeSignature">
    <w:name w:val="Notice Signature"/>
    <w:pPr>
      <w:spacing w:lineRule="exact" w:line="560" w:before="0" w:after="0"/>
      <w:jc w:val="right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customStyle="1" w:styleId="NoticeContact">
    <w:name w:val="Notice Contact"/>
    <w:pPr>
      <w:spacing w:lineRule="exact" w:line="560" w:before="0" w:after="0"/>
      <w:ind w:firstLine="640"/>
      <w:jc w:val="left"/>
    </w:pPr>
    <w:rPr>
      <w:rFonts w:ascii="仿宋_GB2312" w:hAnsi="仿宋_GB2312" w:eastAsia="仿宋_GB2312" w:cs="仿宋_GB2312"/>
      <w:b w:val="0"/>
      <w:color w:val="000000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