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B3FE7E">
      <w:pPr>
        <w:pStyle w:val="4"/>
        <w:widowControl w:val="0"/>
        <w:shd w:val="clear" w:color="auto" w:fill="FFFFFF"/>
        <w:spacing w:before="156" w:beforeLines="50" w:beforeAutospacing="0" w:after="156" w:afterLines="50" w:afterAutospacing="0" w:line="560" w:lineRule="exact"/>
        <w:jc w:val="center"/>
        <w:rPr>
          <w:rFonts w:ascii="方正小标宋简体" w:hAnsi="方正小标宋简体" w:eastAsia="方正小标宋简体" w:cs="方正小标宋简体"/>
          <w:sz w:val="44"/>
          <w:szCs w:val="44"/>
        </w:rPr>
      </w:pPr>
      <w:bookmarkStart w:id="0" w:name="OLE_LINK1"/>
      <w:r>
        <w:rPr>
          <w:rFonts w:hint="eastAsia" w:ascii="方正小标宋简体" w:hAnsi="方正小标宋简体" w:eastAsia="方正小标宋简体" w:cs="方正小标宋简体"/>
          <w:sz w:val="44"/>
          <w:szCs w:val="44"/>
        </w:rPr>
        <w:t>北京工商大学“工商一体化”本科人才培养专项支持计划方案</w:t>
      </w:r>
    </w:p>
    <w:p w14:paraId="2DDDD6F2">
      <w:pPr>
        <w:spacing w:line="560" w:lineRule="exact"/>
        <w:ind w:firstLine="640" w:firstLineChars="200"/>
        <w:rPr>
          <w:rFonts w:ascii="仿宋_GB2312" w:eastAsia="仿宋_GB2312"/>
          <w:sz w:val="32"/>
          <w:szCs w:val="32"/>
        </w:rPr>
      </w:pPr>
      <w:r>
        <w:rPr>
          <w:rFonts w:hint="eastAsia" w:ascii="仿宋_GB2312" w:eastAsia="仿宋_GB2312"/>
          <w:sz w:val="32"/>
          <w:szCs w:val="32"/>
        </w:rPr>
        <w:t>为</w:t>
      </w:r>
      <w:r>
        <w:rPr>
          <w:rFonts w:ascii="仿宋_GB2312" w:eastAsia="仿宋_GB2312"/>
          <w:sz w:val="32"/>
          <w:szCs w:val="32"/>
        </w:rPr>
        <w:t>贯彻落实</w:t>
      </w:r>
      <w:r>
        <w:rPr>
          <w:rFonts w:hint="eastAsia" w:ascii="仿宋_GB2312" w:eastAsia="仿宋_GB2312"/>
          <w:sz w:val="32"/>
          <w:szCs w:val="32"/>
        </w:rPr>
        <w:t>《北京工商大学“工商一体化”本科人才培养指导意见》，</w:t>
      </w:r>
      <w:r>
        <w:rPr>
          <w:rFonts w:hint="eastAsia" w:ascii="仿宋_GB2312" w:hAnsi="方正仿宋_GB2312" w:eastAsia="仿宋_GB2312" w:cs="方正仿宋_GB2312"/>
          <w:sz w:val="32"/>
          <w:szCs w:val="32"/>
        </w:rPr>
        <w:t>打造“工中有商、商中有工”的人才培养新格局</w:t>
      </w:r>
      <w:r>
        <w:rPr>
          <w:rFonts w:ascii="仿宋_GB2312" w:eastAsia="仿宋_GB2312"/>
          <w:sz w:val="32"/>
          <w:szCs w:val="32"/>
        </w:rPr>
        <w:t>，深入推进</w:t>
      </w:r>
      <w:r>
        <w:rPr>
          <w:rFonts w:hint="eastAsia" w:ascii="仿宋_GB2312" w:eastAsia="仿宋_GB2312"/>
          <w:sz w:val="32"/>
          <w:szCs w:val="32"/>
        </w:rPr>
        <w:t>“工商一体化”育人理念，学校设立“工商一体化”专项支持计划，</w:t>
      </w:r>
      <w:r>
        <w:rPr>
          <w:rFonts w:ascii="仿宋_GB2312" w:eastAsia="仿宋_GB2312"/>
          <w:sz w:val="32"/>
          <w:szCs w:val="32"/>
        </w:rPr>
        <w:t>组织全校范围内申报</w:t>
      </w:r>
      <w:r>
        <w:rPr>
          <w:rFonts w:hint="eastAsia" w:ascii="仿宋_GB2312" w:eastAsia="仿宋_GB2312"/>
          <w:sz w:val="32"/>
          <w:szCs w:val="32"/>
        </w:rPr>
        <w:t>。具体申报</w:t>
      </w:r>
      <w:r>
        <w:rPr>
          <w:rFonts w:ascii="仿宋_GB2312" w:eastAsia="仿宋_GB2312"/>
          <w:sz w:val="32"/>
          <w:szCs w:val="32"/>
        </w:rPr>
        <w:t>方向及要求</w:t>
      </w:r>
      <w:r>
        <w:rPr>
          <w:rFonts w:hint="eastAsia" w:ascii="仿宋_GB2312" w:eastAsia="仿宋_GB2312"/>
          <w:sz w:val="32"/>
          <w:szCs w:val="32"/>
        </w:rPr>
        <w:t>如下：</w:t>
      </w:r>
    </w:p>
    <w:p w14:paraId="6B4B13B7">
      <w:pPr>
        <w:spacing w:line="560" w:lineRule="exact"/>
        <w:ind w:firstLine="640" w:firstLineChars="200"/>
        <w:rPr>
          <w:rFonts w:ascii="黑体" w:hAnsi="黑体" w:eastAsia="黑体"/>
          <w:sz w:val="32"/>
          <w:szCs w:val="32"/>
        </w:rPr>
      </w:pPr>
      <w:r>
        <w:rPr>
          <w:rFonts w:hint="eastAsia" w:ascii="黑体" w:hAnsi="黑体" w:eastAsia="黑体"/>
          <w:sz w:val="32"/>
          <w:szCs w:val="32"/>
        </w:rPr>
        <w:t>一、“工商一体化”人才培养模式建设专项</w:t>
      </w:r>
    </w:p>
    <w:p w14:paraId="18E429B7">
      <w:pPr>
        <w:spacing w:line="560" w:lineRule="exact"/>
        <w:ind w:firstLine="640" w:firstLineChars="200"/>
        <w:rPr>
          <w:rFonts w:ascii="楷体_GB2312" w:eastAsia="楷体_GB2312"/>
          <w:sz w:val="32"/>
          <w:szCs w:val="32"/>
        </w:rPr>
      </w:pPr>
      <w:r>
        <w:rPr>
          <w:rFonts w:hint="eastAsia" w:ascii="楷体_GB2312" w:eastAsia="楷体_GB2312"/>
          <w:sz w:val="32"/>
          <w:szCs w:val="32"/>
        </w:rPr>
        <w:t>（一）项目定位</w:t>
      </w:r>
    </w:p>
    <w:p w14:paraId="5284DA7F">
      <w:pPr>
        <w:spacing w:line="560" w:lineRule="exact"/>
        <w:ind w:firstLine="640" w:firstLineChars="200"/>
        <w:rPr>
          <w:rFonts w:ascii="仿宋_GB2312" w:eastAsia="仿宋_GB2312"/>
          <w:sz w:val="32"/>
          <w:szCs w:val="32"/>
        </w:rPr>
      </w:pPr>
      <w:r>
        <w:rPr>
          <w:rFonts w:hint="eastAsia" w:ascii="仿宋_GB2312" w:hAnsi="方正仿宋_GB2312" w:eastAsia="仿宋_GB2312" w:cs="方正仿宋_GB2312"/>
          <w:sz w:val="32"/>
          <w:szCs w:val="32"/>
        </w:rPr>
        <w:t>坚持“工商一体化”理念，打造“工中有商、商中有工”的人才培养新格局，</w:t>
      </w:r>
      <w:r>
        <w:rPr>
          <w:rFonts w:hint="eastAsia" w:ascii="仿宋_GB2312" w:eastAsia="仿宋_GB2312"/>
          <w:sz w:val="32"/>
          <w:szCs w:val="32"/>
        </w:rPr>
        <w:t>探索构建全过程、多主体协同的本科人才培养模式，推动“专业</w:t>
      </w:r>
      <w:r>
        <w:rPr>
          <w:rFonts w:ascii="仿宋_GB2312" w:eastAsia="仿宋_GB2312"/>
          <w:sz w:val="32"/>
          <w:szCs w:val="32"/>
        </w:rPr>
        <w:t>-课程-实践-评价”系统重构，形成可复制、可推广的培养范式</w:t>
      </w:r>
      <w:r>
        <w:rPr>
          <w:rFonts w:hint="eastAsia" w:ascii="仿宋_GB2312" w:eastAsia="仿宋_GB2312"/>
          <w:sz w:val="32"/>
          <w:szCs w:val="32"/>
        </w:rPr>
        <w:t>。</w:t>
      </w:r>
    </w:p>
    <w:p w14:paraId="3CD056DE">
      <w:pPr>
        <w:spacing w:line="560" w:lineRule="exact"/>
        <w:ind w:firstLine="640" w:firstLineChars="200"/>
        <w:rPr>
          <w:rFonts w:ascii="楷体_GB2312" w:eastAsia="楷体_GB2312"/>
          <w:sz w:val="32"/>
          <w:szCs w:val="32"/>
        </w:rPr>
      </w:pPr>
      <w:bookmarkStart w:id="1" w:name="OLE_LINK20"/>
      <w:r>
        <w:rPr>
          <w:rFonts w:hint="eastAsia" w:ascii="楷体_GB2312" w:eastAsia="楷体_GB2312"/>
          <w:sz w:val="32"/>
          <w:szCs w:val="32"/>
        </w:rPr>
        <w:t>（二）基本思路</w:t>
      </w:r>
    </w:p>
    <w:bookmarkEnd w:id="1"/>
    <w:p w14:paraId="51BDBC69">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1</w:t>
      </w:r>
      <w:r>
        <w:rPr>
          <w:rFonts w:ascii="仿宋_GB2312" w:hAnsi="方正仿宋_GB2312" w:eastAsia="仿宋_GB2312" w:cs="方正仿宋_GB2312"/>
          <w:sz w:val="32"/>
          <w:szCs w:val="32"/>
        </w:rPr>
        <w:t>.</w:t>
      </w:r>
      <w:r>
        <w:rPr>
          <w:rFonts w:hint="eastAsia" w:ascii="仿宋_GB2312" w:hAnsi="方正仿宋_GB2312" w:eastAsia="仿宋_GB2312" w:cs="方正仿宋_GB2312"/>
          <w:sz w:val="32"/>
          <w:szCs w:val="32"/>
        </w:rPr>
        <w:t>突出工程思维与商业逻辑的复合素养，打造具有商业思维的新工科人才和具有技术理解与创新实践能力的新商科人才培养新范式；</w:t>
      </w:r>
    </w:p>
    <w:p w14:paraId="0ABF8319">
      <w:pPr>
        <w:spacing w:line="56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制定具有代表性的“工商一体化”人才培养方案或模式标准；</w:t>
      </w:r>
      <w:r>
        <w:rPr>
          <w:rFonts w:ascii="仿宋_GB2312" w:eastAsia="仿宋_GB2312"/>
          <w:sz w:val="32"/>
          <w:szCs w:val="32"/>
        </w:rPr>
        <w:t xml:space="preserve"> </w:t>
      </w:r>
    </w:p>
    <w:p w14:paraId="1FCA3BD7">
      <w:pPr>
        <w:spacing w:line="560" w:lineRule="exact"/>
        <w:ind w:firstLine="640" w:firstLineChars="200"/>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打通课堂教学、实践教学、企业实训和毕业设计的培养链条；</w:t>
      </w:r>
    </w:p>
    <w:p w14:paraId="41C3B721">
      <w:pPr>
        <w:spacing w:line="560" w:lineRule="exact"/>
        <w:ind w:firstLine="640" w:firstLineChars="200"/>
        <w:rPr>
          <w:rFonts w:ascii="仿宋_GB2312" w:eastAsia="仿宋_GB2312"/>
          <w:sz w:val="32"/>
          <w:szCs w:val="32"/>
        </w:rPr>
      </w:pPr>
      <w:r>
        <w:rPr>
          <w:rFonts w:hint="eastAsia" w:ascii="仿宋_GB2312" w:eastAsia="仿宋_GB2312"/>
          <w:sz w:val="32"/>
          <w:szCs w:val="32"/>
        </w:rPr>
        <w:t>4</w:t>
      </w:r>
      <w:r>
        <w:rPr>
          <w:rFonts w:ascii="仿宋_GB2312" w:eastAsia="仿宋_GB2312"/>
          <w:sz w:val="32"/>
          <w:szCs w:val="32"/>
        </w:rPr>
        <w:t>.</w:t>
      </w:r>
      <w:r>
        <w:rPr>
          <w:rFonts w:hint="eastAsia" w:ascii="仿宋_GB2312" w:eastAsia="仿宋_GB2312"/>
          <w:sz w:val="32"/>
          <w:szCs w:val="32"/>
        </w:rPr>
        <w:t>开展跨学科、多角色协同的课程体系顶层设计。</w:t>
      </w:r>
    </w:p>
    <w:p w14:paraId="0C553E10">
      <w:pPr>
        <w:spacing w:line="560" w:lineRule="exact"/>
        <w:ind w:firstLine="640" w:firstLineChars="200"/>
        <w:rPr>
          <w:rFonts w:ascii="楷体_GB2312" w:eastAsia="楷体_GB2312"/>
          <w:sz w:val="32"/>
          <w:szCs w:val="32"/>
        </w:rPr>
      </w:pPr>
      <w:r>
        <w:rPr>
          <w:rFonts w:hint="eastAsia" w:ascii="楷体_GB2312" w:eastAsia="楷体_GB2312"/>
          <w:sz w:val="32"/>
          <w:szCs w:val="32"/>
        </w:rPr>
        <w:t>（三）申报条件</w:t>
      </w:r>
    </w:p>
    <w:p w14:paraId="1011481F">
      <w:pPr>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牵头单位为本科专业所属学院；</w:t>
      </w:r>
    </w:p>
    <w:p w14:paraId="1E6FFF9B">
      <w:pPr>
        <w:spacing w:line="56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鼓励多个学院跨专业协作，联合行业企业、科研机构共建。</w:t>
      </w:r>
    </w:p>
    <w:p w14:paraId="4112D917">
      <w:pPr>
        <w:spacing w:line="560" w:lineRule="exact"/>
        <w:ind w:firstLine="640" w:firstLineChars="200"/>
        <w:rPr>
          <w:rFonts w:ascii="楷体_GB2312" w:eastAsia="楷体_GB2312"/>
          <w:sz w:val="32"/>
          <w:szCs w:val="32"/>
        </w:rPr>
      </w:pPr>
      <w:bookmarkStart w:id="2" w:name="OLE_LINK21"/>
      <w:r>
        <w:rPr>
          <w:rFonts w:hint="eastAsia" w:ascii="楷体_GB2312" w:eastAsia="楷体_GB2312"/>
          <w:sz w:val="32"/>
          <w:szCs w:val="32"/>
        </w:rPr>
        <w:t>（四）预期成果</w:t>
      </w:r>
    </w:p>
    <w:bookmarkEnd w:id="2"/>
    <w:p w14:paraId="77926683">
      <w:pPr>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制定</w:t>
      </w:r>
      <w:r>
        <w:rPr>
          <w:rFonts w:ascii="仿宋_GB2312" w:eastAsia="仿宋_GB2312"/>
          <w:sz w:val="32"/>
          <w:szCs w:val="32"/>
        </w:rPr>
        <w:t>1份</w:t>
      </w:r>
      <w:r>
        <w:rPr>
          <w:rFonts w:hint="eastAsia" w:ascii="仿宋_GB2312" w:eastAsia="仿宋_GB2312"/>
          <w:sz w:val="32"/>
          <w:szCs w:val="32"/>
        </w:rPr>
        <w:t>“工商一体化”</w:t>
      </w:r>
      <w:r>
        <w:rPr>
          <w:rFonts w:ascii="仿宋_GB2312" w:eastAsia="仿宋_GB2312"/>
          <w:sz w:val="32"/>
          <w:szCs w:val="32"/>
        </w:rPr>
        <w:t>人才培养模式方案；</w:t>
      </w:r>
    </w:p>
    <w:p w14:paraId="5DD2E003">
      <w:pPr>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形成</w:t>
      </w:r>
      <w:r>
        <w:rPr>
          <w:rFonts w:ascii="仿宋_GB2312" w:eastAsia="仿宋_GB2312"/>
          <w:sz w:val="32"/>
          <w:szCs w:val="32"/>
        </w:rPr>
        <w:t>1个校级案例（可为阶段性成果案例）；</w:t>
      </w:r>
    </w:p>
    <w:p w14:paraId="6240BE66">
      <w:pPr>
        <w:spacing w:line="560" w:lineRule="exact"/>
        <w:ind w:firstLine="640" w:firstLineChars="200"/>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产出</w:t>
      </w:r>
      <w:r>
        <w:rPr>
          <w:rFonts w:ascii="仿宋_GB2312" w:eastAsia="仿宋_GB2312"/>
          <w:sz w:val="32"/>
          <w:szCs w:val="32"/>
        </w:rPr>
        <w:t>1项制度设计</w:t>
      </w:r>
      <w:r>
        <w:rPr>
          <w:rFonts w:hint="eastAsia" w:ascii="仿宋_GB2312" w:eastAsia="仿宋_GB2312"/>
          <w:sz w:val="32"/>
          <w:szCs w:val="32"/>
        </w:rPr>
        <w:t>，</w:t>
      </w:r>
      <w:r>
        <w:rPr>
          <w:rFonts w:ascii="仿宋_GB2312" w:eastAsia="仿宋_GB2312"/>
          <w:sz w:val="32"/>
          <w:szCs w:val="32"/>
        </w:rPr>
        <w:t>或研究报告</w:t>
      </w:r>
      <w:r>
        <w:rPr>
          <w:rFonts w:hint="eastAsia" w:ascii="仿宋_GB2312" w:eastAsia="仿宋_GB2312"/>
          <w:sz w:val="32"/>
          <w:szCs w:val="32"/>
        </w:rPr>
        <w:t>，或</w:t>
      </w:r>
      <w:r>
        <w:rPr>
          <w:rFonts w:ascii="仿宋_GB2312" w:eastAsia="仿宋_GB2312"/>
          <w:sz w:val="32"/>
          <w:szCs w:val="32"/>
        </w:rPr>
        <w:t>课程</w:t>
      </w:r>
      <w:r>
        <w:rPr>
          <w:rFonts w:hint="eastAsia" w:ascii="仿宋_GB2312" w:eastAsia="仿宋_GB2312"/>
          <w:sz w:val="32"/>
          <w:szCs w:val="32"/>
        </w:rPr>
        <w:t>，或</w:t>
      </w:r>
      <w:r>
        <w:rPr>
          <w:rFonts w:ascii="仿宋_GB2312" w:eastAsia="仿宋_GB2312"/>
          <w:sz w:val="32"/>
          <w:szCs w:val="32"/>
        </w:rPr>
        <w:t>教学项目</w:t>
      </w:r>
      <w:r>
        <w:rPr>
          <w:rFonts w:hint="eastAsia" w:ascii="仿宋_GB2312" w:eastAsia="仿宋_GB2312"/>
          <w:sz w:val="32"/>
          <w:szCs w:val="32"/>
        </w:rPr>
        <w:t>，</w:t>
      </w:r>
      <w:r>
        <w:rPr>
          <w:rFonts w:ascii="仿宋_GB2312" w:eastAsia="仿宋_GB2312"/>
          <w:sz w:val="32"/>
          <w:szCs w:val="32"/>
        </w:rPr>
        <w:t>或协同育人实践。</w:t>
      </w:r>
    </w:p>
    <w:p w14:paraId="33FA0886">
      <w:pPr>
        <w:spacing w:line="560" w:lineRule="exact"/>
        <w:ind w:firstLine="640" w:firstLineChars="200"/>
        <w:jc w:val="right"/>
        <w:rPr>
          <w:rFonts w:hint="default" w:ascii="仿宋_GB2312" w:eastAsia="仿宋_GB2312"/>
          <w:sz w:val="32"/>
          <w:szCs w:val="32"/>
          <w:lang w:val="en-US" w:eastAsia="zh-CN"/>
        </w:rPr>
      </w:pPr>
    </w:p>
    <w:p w14:paraId="115B0245">
      <w:pPr>
        <w:spacing w:line="560" w:lineRule="exact"/>
        <w:ind w:firstLine="640" w:firstLineChars="200"/>
        <w:rPr>
          <w:rFonts w:ascii="黑体" w:hAnsi="黑体" w:eastAsia="黑体"/>
          <w:sz w:val="32"/>
          <w:szCs w:val="32"/>
        </w:rPr>
      </w:pPr>
      <w:r>
        <w:rPr>
          <w:rFonts w:hint="eastAsia" w:ascii="黑体" w:hAnsi="黑体" w:eastAsia="黑体"/>
          <w:sz w:val="32"/>
          <w:szCs w:val="32"/>
        </w:rPr>
        <w:t>二、“工商一体化”示范性融合专业建设专项</w:t>
      </w:r>
    </w:p>
    <w:p w14:paraId="6B72D938">
      <w:pPr>
        <w:spacing w:line="560" w:lineRule="exact"/>
        <w:ind w:firstLine="640" w:firstLineChars="200"/>
        <w:rPr>
          <w:rFonts w:ascii="楷体_GB2312" w:eastAsia="楷体_GB2312"/>
          <w:sz w:val="32"/>
          <w:szCs w:val="32"/>
        </w:rPr>
      </w:pPr>
      <w:r>
        <w:rPr>
          <w:rFonts w:hint="eastAsia" w:ascii="楷体_GB2312" w:eastAsia="楷体_GB2312"/>
          <w:sz w:val="32"/>
          <w:szCs w:val="32"/>
        </w:rPr>
        <w:t>（一）</w:t>
      </w:r>
      <w:r>
        <w:rPr>
          <w:rFonts w:ascii="楷体_GB2312" w:eastAsia="楷体_GB2312"/>
          <w:sz w:val="32"/>
          <w:szCs w:val="32"/>
        </w:rPr>
        <w:t>项目定位</w:t>
      </w:r>
    </w:p>
    <w:p w14:paraId="3004367A">
      <w:pPr>
        <w:spacing w:line="560" w:lineRule="exact"/>
        <w:ind w:firstLine="640" w:firstLineChars="200"/>
        <w:rPr>
          <w:rFonts w:ascii="仿宋_GB2312" w:eastAsia="仿宋_GB2312"/>
          <w:sz w:val="32"/>
          <w:szCs w:val="32"/>
        </w:rPr>
      </w:pPr>
      <w:r>
        <w:rPr>
          <w:rFonts w:hint="eastAsia" w:ascii="仿宋_GB2312" w:eastAsia="仿宋_GB2312"/>
          <w:sz w:val="32"/>
          <w:szCs w:val="32"/>
        </w:rPr>
        <w:t>聚焦“工商一体化”人才培养目标，打造具有鲜明融合特色和行业导向的示范性本科专业，推动专业结构优化升级，促进产教深度融合与校企协同育人。</w:t>
      </w:r>
    </w:p>
    <w:p w14:paraId="2CAAA6FC">
      <w:pPr>
        <w:spacing w:line="560" w:lineRule="exact"/>
        <w:ind w:firstLine="640" w:firstLineChars="200"/>
        <w:rPr>
          <w:rFonts w:ascii="楷体_GB2312" w:eastAsia="楷体_GB2312"/>
          <w:sz w:val="32"/>
          <w:szCs w:val="32"/>
        </w:rPr>
      </w:pPr>
      <w:r>
        <w:rPr>
          <w:rFonts w:hint="eastAsia" w:ascii="楷体_GB2312" w:eastAsia="楷体_GB2312"/>
          <w:sz w:val="32"/>
          <w:szCs w:val="32"/>
        </w:rPr>
        <w:t>（二）基本思路</w:t>
      </w:r>
    </w:p>
    <w:p w14:paraId="29D4E206">
      <w:pPr>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优化人才培养方案，强化跨界复合能力培养；</w:t>
      </w:r>
    </w:p>
    <w:p w14:paraId="66EFB6CD">
      <w:pPr>
        <w:spacing w:line="56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建设校企共建实践平台，拓展实习、实训和项目基地；</w:t>
      </w:r>
    </w:p>
    <w:p w14:paraId="1544C046">
      <w:pPr>
        <w:spacing w:line="560" w:lineRule="exact"/>
        <w:ind w:firstLine="640" w:firstLineChars="200"/>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引入行业专家参与课程开发、教学指导及专业评估；</w:t>
      </w:r>
    </w:p>
    <w:p w14:paraId="09910331">
      <w:pPr>
        <w:spacing w:line="560" w:lineRule="exact"/>
        <w:ind w:firstLine="640" w:firstLineChars="200"/>
        <w:rPr>
          <w:rFonts w:ascii="仿宋_GB2312" w:eastAsia="仿宋_GB2312"/>
          <w:sz w:val="32"/>
          <w:szCs w:val="32"/>
        </w:rPr>
      </w:pPr>
      <w:r>
        <w:rPr>
          <w:rFonts w:hint="eastAsia" w:ascii="仿宋_GB2312" w:eastAsia="仿宋_GB2312"/>
          <w:sz w:val="32"/>
          <w:szCs w:val="32"/>
        </w:rPr>
        <w:t>4</w:t>
      </w:r>
      <w:r>
        <w:rPr>
          <w:rFonts w:ascii="仿宋_GB2312" w:eastAsia="仿宋_GB2312"/>
          <w:sz w:val="32"/>
          <w:szCs w:val="32"/>
        </w:rPr>
        <w:t>.</w:t>
      </w:r>
      <w:r>
        <w:rPr>
          <w:rFonts w:hint="eastAsia" w:ascii="仿宋_GB2312" w:eastAsia="仿宋_GB2312"/>
          <w:sz w:val="32"/>
          <w:szCs w:val="32"/>
        </w:rPr>
        <w:t>探索专业教学内容和教学模式创新，建立专业质量动态评价及改进机制。</w:t>
      </w:r>
    </w:p>
    <w:p w14:paraId="1B342666">
      <w:pPr>
        <w:spacing w:line="560" w:lineRule="exact"/>
        <w:ind w:firstLine="640" w:firstLineChars="200"/>
        <w:rPr>
          <w:rFonts w:ascii="楷体_GB2312" w:eastAsia="楷体_GB2312"/>
          <w:sz w:val="32"/>
          <w:szCs w:val="32"/>
        </w:rPr>
      </w:pPr>
      <w:r>
        <w:rPr>
          <w:rFonts w:hint="eastAsia" w:ascii="楷体_GB2312" w:eastAsia="楷体_GB2312"/>
          <w:sz w:val="32"/>
          <w:szCs w:val="32"/>
        </w:rPr>
        <w:t>（三）</w:t>
      </w:r>
      <w:r>
        <w:rPr>
          <w:rFonts w:ascii="楷体_GB2312" w:eastAsia="楷体_GB2312"/>
          <w:sz w:val="32"/>
          <w:szCs w:val="32"/>
        </w:rPr>
        <w:t>申报条件</w:t>
      </w:r>
    </w:p>
    <w:p w14:paraId="3AB1E85A">
      <w:pPr>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申报单位需为已有本科专业建设基础且有产教融合经验的单位；</w:t>
      </w:r>
    </w:p>
    <w:p w14:paraId="562BA19B">
      <w:pPr>
        <w:spacing w:line="56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专业负责人具备专业教学和产教融合管理经验；</w:t>
      </w:r>
    </w:p>
    <w:p w14:paraId="62E39A23">
      <w:pPr>
        <w:spacing w:line="560" w:lineRule="exact"/>
        <w:ind w:firstLine="640" w:firstLineChars="200"/>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专业具备较强行业联系和企业资源支持；</w:t>
      </w:r>
    </w:p>
    <w:p w14:paraId="509D20F5">
      <w:pPr>
        <w:spacing w:line="560" w:lineRule="exact"/>
        <w:ind w:firstLine="640" w:firstLineChars="200"/>
        <w:rPr>
          <w:rFonts w:ascii="仿宋_GB2312" w:eastAsia="仿宋_GB2312"/>
          <w:sz w:val="32"/>
          <w:szCs w:val="32"/>
        </w:rPr>
      </w:pPr>
      <w:r>
        <w:rPr>
          <w:rFonts w:hint="eastAsia" w:ascii="仿宋_GB2312" w:eastAsia="仿宋_GB2312"/>
          <w:sz w:val="32"/>
          <w:szCs w:val="32"/>
        </w:rPr>
        <w:t>4</w:t>
      </w:r>
      <w:r>
        <w:rPr>
          <w:rFonts w:ascii="仿宋_GB2312" w:eastAsia="仿宋_GB2312"/>
          <w:sz w:val="32"/>
          <w:szCs w:val="32"/>
        </w:rPr>
        <w:t>.</w:t>
      </w:r>
      <w:r>
        <w:rPr>
          <w:rFonts w:hint="eastAsia" w:ascii="仿宋_GB2312" w:eastAsia="仿宋_GB2312"/>
          <w:sz w:val="32"/>
          <w:szCs w:val="32"/>
        </w:rPr>
        <w:t>鼓励跨学院联合建设“融合型”或“交叉型”专业。</w:t>
      </w:r>
    </w:p>
    <w:p w14:paraId="37063497">
      <w:pPr>
        <w:spacing w:line="560" w:lineRule="exact"/>
        <w:ind w:firstLine="640" w:firstLineChars="200"/>
        <w:rPr>
          <w:rFonts w:ascii="楷体_GB2312" w:eastAsia="楷体_GB2312"/>
          <w:sz w:val="32"/>
          <w:szCs w:val="32"/>
        </w:rPr>
      </w:pPr>
      <w:r>
        <w:rPr>
          <w:rFonts w:hint="eastAsia" w:ascii="楷体_GB2312" w:eastAsia="楷体_GB2312"/>
          <w:sz w:val="32"/>
          <w:szCs w:val="32"/>
        </w:rPr>
        <w:t>（四）</w:t>
      </w:r>
      <w:r>
        <w:rPr>
          <w:rFonts w:ascii="楷体_GB2312" w:eastAsia="楷体_GB2312"/>
          <w:sz w:val="32"/>
          <w:szCs w:val="32"/>
        </w:rPr>
        <w:t>预期成果</w:t>
      </w:r>
    </w:p>
    <w:p w14:paraId="146BE290">
      <w:pPr>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完成</w:t>
      </w:r>
      <w:r>
        <w:rPr>
          <w:rFonts w:ascii="仿宋_GB2312" w:eastAsia="仿宋_GB2312"/>
          <w:sz w:val="32"/>
          <w:szCs w:val="32"/>
        </w:rPr>
        <w:t>1份更新优化后的人才培养方案，并开展部分课程或环节试点；</w:t>
      </w:r>
    </w:p>
    <w:p w14:paraId="59DCB25F">
      <w:pPr>
        <w:spacing w:line="56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开展“工商创新实验班”筹备工作（可选拔一届学生并开展首学期课程试行）；</w:t>
      </w:r>
    </w:p>
    <w:p w14:paraId="503952DE">
      <w:pPr>
        <w:spacing w:line="560" w:lineRule="exact"/>
        <w:ind w:firstLine="640" w:firstLineChars="200"/>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撰写融合型专业建设阶段总结报告</w:t>
      </w:r>
      <w:r>
        <w:rPr>
          <w:rFonts w:ascii="仿宋_GB2312" w:eastAsia="仿宋_GB2312"/>
          <w:sz w:val="32"/>
          <w:szCs w:val="32"/>
        </w:rPr>
        <w:t>1份。</w:t>
      </w:r>
    </w:p>
    <w:p w14:paraId="6E3EE57F">
      <w:pPr>
        <w:spacing w:line="560" w:lineRule="exact"/>
        <w:ind w:firstLine="640" w:firstLineChars="200"/>
        <w:rPr>
          <w:rFonts w:ascii="黑体" w:hAnsi="黑体" w:eastAsia="黑体"/>
          <w:sz w:val="32"/>
          <w:szCs w:val="32"/>
        </w:rPr>
      </w:pPr>
      <w:r>
        <w:rPr>
          <w:rFonts w:hint="eastAsia" w:ascii="黑体" w:hAnsi="黑体" w:eastAsia="黑体"/>
          <w:sz w:val="32"/>
          <w:szCs w:val="32"/>
        </w:rPr>
        <w:t>三、“工商一体化”课程群建设专项</w:t>
      </w:r>
    </w:p>
    <w:p w14:paraId="7DF732F7">
      <w:pPr>
        <w:spacing w:line="560" w:lineRule="exact"/>
        <w:ind w:firstLine="640" w:firstLineChars="200"/>
        <w:rPr>
          <w:rFonts w:ascii="楷体_GB2312" w:eastAsia="楷体_GB2312"/>
          <w:sz w:val="32"/>
          <w:szCs w:val="32"/>
        </w:rPr>
      </w:pPr>
      <w:r>
        <w:rPr>
          <w:rFonts w:hint="eastAsia" w:ascii="楷体_GB2312" w:eastAsia="楷体_GB2312"/>
          <w:sz w:val="32"/>
          <w:szCs w:val="32"/>
        </w:rPr>
        <w:t>（一）</w:t>
      </w:r>
      <w:r>
        <w:rPr>
          <w:rFonts w:ascii="楷体_GB2312" w:eastAsia="楷体_GB2312"/>
          <w:sz w:val="32"/>
          <w:szCs w:val="32"/>
        </w:rPr>
        <w:t>项目定位</w:t>
      </w:r>
    </w:p>
    <w:p w14:paraId="0F6B3B6C">
      <w:pPr>
        <w:spacing w:line="560" w:lineRule="exact"/>
        <w:ind w:firstLine="640" w:firstLineChars="200"/>
        <w:rPr>
          <w:rFonts w:ascii="仿宋_GB2312" w:eastAsia="仿宋_GB2312"/>
          <w:sz w:val="32"/>
          <w:szCs w:val="32"/>
        </w:rPr>
      </w:pPr>
      <w:r>
        <w:rPr>
          <w:rFonts w:hint="eastAsia" w:ascii="仿宋_GB2312" w:eastAsia="仿宋_GB2312"/>
          <w:sz w:val="32"/>
          <w:szCs w:val="32"/>
        </w:rPr>
        <w:t>围绕“工商一体化”人才培养需求，</w:t>
      </w:r>
      <w:r>
        <w:rPr>
          <w:rFonts w:hint="eastAsia" w:ascii="仿宋_GB2312" w:hAnsi="方正仿宋_GB2312" w:eastAsia="仿宋_GB2312" w:cs="方正仿宋_GB2312"/>
          <w:sz w:val="32"/>
          <w:szCs w:val="32"/>
        </w:rPr>
        <w:t>构建“工科技术必修模块+商业思维核心模块+交叉创新实践模块”课程体系，</w:t>
      </w:r>
      <w:r>
        <w:rPr>
          <w:rFonts w:hint="eastAsia" w:ascii="仿宋_GB2312" w:eastAsia="仿宋_GB2312"/>
          <w:sz w:val="32"/>
          <w:szCs w:val="32"/>
        </w:rPr>
        <w:t>建设能力导向的课程群，推动课程内容与产业需求深度融合，</w:t>
      </w:r>
      <w:r>
        <w:rPr>
          <w:rFonts w:hint="eastAsia" w:ascii="仿宋_GB2312" w:hAnsi="方正仿宋_GB2312" w:eastAsia="仿宋_GB2312" w:cs="方正仿宋_GB2312"/>
          <w:sz w:val="32"/>
          <w:szCs w:val="32"/>
        </w:rPr>
        <w:t>突出工程思维与商业逻辑的复合素养。</w:t>
      </w:r>
    </w:p>
    <w:p w14:paraId="1FD3644B">
      <w:pPr>
        <w:spacing w:line="560" w:lineRule="exact"/>
        <w:ind w:firstLine="640" w:firstLineChars="200"/>
        <w:rPr>
          <w:rFonts w:ascii="楷体_GB2312" w:eastAsia="楷体_GB2312"/>
          <w:sz w:val="32"/>
          <w:szCs w:val="32"/>
        </w:rPr>
      </w:pPr>
      <w:r>
        <w:rPr>
          <w:rFonts w:hint="eastAsia" w:ascii="楷体_GB2312" w:eastAsia="楷体_GB2312"/>
          <w:sz w:val="32"/>
          <w:szCs w:val="32"/>
        </w:rPr>
        <w:t>（二）基本思路</w:t>
      </w:r>
    </w:p>
    <w:p w14:paraId="0BBB64B8">
      <w:pPr>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建设以</w:t>
      </w:r>
      <w:r>
        <w:rPr>
          <w:rFonts w:hint="eastAsia" w:ascii="仿宋_GB2312" w:hAnsi="方正仿宋_GB2312" w:eastAsia="仿宋_GB2312" w:cs="方正仿宋_GB2312"/>
          <w:sz w:val="32"/>
          <w:szCs w:val="32"/>
        </w:rPr>
        <w:t>打造具有商业思维的新工科人才和具有技术理解与创新实践能力的新商科人才培养新范式</w:t>
      </w:r>
      <w:r>
        <w:rPr>
          <w:rFonts w:hint="eastAsia" w:ascii="仿宋_GB2312" w:eastAsia="仿宋_GB2312"/>
          <w:sz w:val="32"/>
          <w:szCs w:val="32"/>
        </w:rPr>
        <w:t>为核心的课程群体系；</w:t>
      </w:r>
    </w:p>
    <w:p w14:paraId="2F13A7A8">
      <w:pPr>
        <w:spacing w:line="560" w:lineRule="exact"/>
        <w:ind w:firstLine="640" w:firstLineChars="200"/>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2</w:t>
      </w:r>
      <w:r>
        <w:rPr>
          <w:rFonts w:ascii="仿宋_GB2312" w:hAnsi="方正仿宋_GB2312" w:eastAsia="仿宋_GB2312" w:cs="方正仿宋_GB2312"/>
          <w:sz w:val="32"/>
          <w:szCs w:val="32"/>
        </w:rPr>
        <w:t>.</w:t>
      </w:r>
      <w:r>
        <w:rPr>
          <w:rFonts w:hint="eastAsia" w:ascii="仿宋_GB2312" w:hAnsi="方正仿宋_GB2312" w:eastAsia="仿宋_GB2312" w:cs="方正仿宋_GB2312"/>
          <w:sz w:val="32"/>
          <w:szCs w:val="32"/>
        </w:rPr>
        <w:t>建设</w:t>
      </w:r>
      <w:r>
        <w:rPr>
          <w:rFonts w:hint="eastAsia" w:ascii="仿宋_GB2312" w:eastAsia="仿宋_GB2312"/>
          <w:sz w:val="32"/>
          <w:szCs w:val="32"/>
        </w:rPr>
        <w:t>“工商一体化”</w:t>
      </w:r>
      <w:r>
        <w:rPr>
          <w:rFonts w:hint="eastAsia" w:ascii="仿宋_GB2312" w:hAnsi="方正仿宋_GB2312" w:eastAsia="仿宋_GB2312" w:cs="方正仿宋_GB2312"/>
          <w:sz w:val="32"/>
          <w:szCs w:val="32"/>
        </w:rPr>
        <w:t>跨学科通识课程群，设计覆盖理、工、经、管、法、文、艺等学科领域的通识课程内容，实现多学科知识的交叉融合与共同发展；</w:t>
      </w:r>
    </w:p>
    <w:p w14:paraId="2013B671">
      <w:pPr>
        <w:spacing w:line="560" w:lineRule="exact"/>
        <w:ind w:firstLine="640" w:firstLineChars="200"/>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深化校企合作，联合开发课程案例、实验项目和实践环节。</w:t>
      </w:r>
    </w:p>
    <w:p w14:paraId="2F4AE1CC">
      <w:pPr>
        <w:spacing w:line="560" w:lineRule="exact"/>
        <w:ind w:firstLine="640" w:firstLineChars="200"/>
        <w:rPr>
          <w:rFonts w:ascii="楷体_GB2312" w:eastAsia="楷体_GB2312"/>
          <w:sz w:val="32"/>
          <w:szCs w:val="32"/>
        </w:rPr>
      </w:pPr>
      <w:r>
        <w:rPr>
          <w:rFonts w:hint="eastAsia" w:ascii="楷体_GB2312" w:eastAsia="楷体_GB2312"/>
          <w:sz w:val="32"/>
          <w:szCs w:val="32"/>
        </w:rPr>
        <w:t>（三）</w:t>
      </w:r>
      <w:r>
        <w:rPr>
          <w:rFonts w:ascii="楷体_GB2312" w:eastAsia="楷体_GB2312"/>
          <w:sz w:val="32"/>
          <w:szCs w:val="32"/>
        </w:rPr>
        <w:t>申报条件</w:t>
      </w:r>
    </w:p>
    <w:p w14:paraId="66C5134B">
      <w:pPr>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课程团队应有经验丰富的课程负责人和骨干教师；</w:t>
      </w:r>
    </w:p>
    <w:p w14:paraId="31820953">
      <w:pPr>
        <w:spacing w:line="56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课程群应明确产业对接目标和人才培养定位；</w:t>
      </w:r>
    </w:p>
    <w:p w14:paraId="64AC9043">
      <w:pPr>
        <w:spacing w:line="560" w:lineRule="exact"/>
        <w:ind w:firstLine="640" w:firstLineChars="200"/>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鼓励跨专业、跨学院协同申报。</w:t>
      </w:r>
    </w:p>
    <w:p w14:paraId="4B2755BF">
      <w:pPr>
        <w:spacing w:line="560" w:lineRule="exact"/>
        <w:ind w:firstLine="640" w:firstLineChars="200"/>
        <w:rPr>
          <w:rFonts w:ascii="楷体_GB2312" w:eastAsia="楷体_GB2312"/>
          <w:sz w:val="32"/>
          <w:szCs w:val="32"/>
        </w:rPr>
      </w:pPr>
      <w:r>
        <w:rPr>
          <w:rFonts w:hint="eastAsia" w:ascii="楷体_GB2312" w:eastAsia="楷体_GB2312"/>
          <w:sz w:val="32"/>
          <w:szCs w:val="32"/>
        </w:rPr>
        <w:t>（四）</w:t>
      </w:r>
      <w:r>
        <w:rPr>
          <w:rFonts w:ascii="楷体_GB2312" w:eastAsia="楷体_GB2312"/>
          <w:sz w:val="32"/>
          <w:szCs w:val="32"/>
        </w:rPr>
        <w:t>预期成果</w:t>
      </w:r>
    </w:p>
    <w:p w14:paraId="3F1C4DF9">
      <w:pPr>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完成</w:t>
      </w:r>
      <w:r>
        <w:rPr>
          <w:rFonts w:ascii="仿宋_GB2312" w:eastAsia="仿宋_GB2312"/>
          <w:sz w:val="32"/>
          <w:szCs w:val="32"/>
        </w:rPr>
        <w:t>1个课程群的初步设计（含课程大纲、目标体系、能力矩阵等）；</w:t>
      </w:r>
    </w:p>
    <w:p w14:paraId="694F19A9">
      <w:pPr>
        <w:spacing w:line="560" w:lineRule="exact"/>
        <w:ind w:firstLine="640" w:firstLineChars="200"/>
        <w:rPr>
          <w:rFonts w:ascii="仿宋_GB2312" w:hAnsi="仿宋_GB2312" w:eastAsia="仿宋_GB2312" w:cs="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形成</w:t>
      </w:r>
      <w:r>
        <w:rPr>
          <w:rFonts w:ascii="仿宋_GB2312" w:eastAsia="仿宋_GB2312"/>
          <w:sz w:val="32"/>
          <w:szCs w:val="32"/>
        </w:rPr>
        <w:t>1个结合产业需求的项目式教学案例</w:t>
      </w:r>
      <w:r>
        <w:rPr>
          <w:rFonts w:hint="eastAsia" w:ascii="仿宋_GB2312" w:eastAsia="仿宋_GB2312"/>
          <w:sz w:val="32"/>
          <w:szCs w:val="32"/>
        </w:rPr>
        <w:t>。</w:t>
      </w:r>
    </w:p>
    <w:p w14:paraId="74FE56DF">
      <w:pPr>
        <w:spacing w:line="560" w:lineRule="exact"/>
        <w:ind w:firstLine="640" w:firstLineChars="200"/>
        <w:rPr>
          <w:rFonts w:ascii="黑体" w:hAnsi="黑体" w:eastAsia="黑体"/>
          <w:sz w:val="32"/>
          <w:szCs w:val="32"/>
        </w:rPr>
      </w:pPr>
      <w:r>
        <w:rPr>
          <w:rFonts w:hint="eastAsia" w:ascii="黑体" w:hAnsi="黑体" w:eastAsia="黑体"/>
          <w:sz w:val="32"/>
          <w:szCs w:val="32"/>
        </w:rPr>
        <w:t>四、</w:t>
      </w:r>
      <w:bookmarkStart w:id="3" w:name="OLE_LINK22"/>
      <w:r>
        <w:rPr>
          <w:rFonts w:hint="eastAsia" w:ascii="黑体" w:hAnsi="黑体" w:eastAsia="黑体"/>
          <w:sz w:val="32"/>
          <w:szCs w:val="32"/>
        </w:rPr>
        <w:t>“工商一体化”</w:t>
      </w:r>
      <w:bookmarkEnd w:id="3"/>
      <w:r>
        <w:rPr>
          <w:rFonts w:hint="eastAsia" w:ascii="黑体" w:hAnsi="黑体" w:eastAsia="黑体"/>
          <w:sz w:val="32"/>
          <w:szCs w:val="32"/>
        </w:rPr>
        <w:t>融合型虚拟教研室建设专项</w:t>
      </w:r>
    </w:p>
    <w:p w14:paraId="5C57A0BF">
      <w:pPr>
        <w:spacing w:line="560" w:lineRule="exact"/>
        <w:ind w:firstLine="640" w:firstLineChars="200"/>
        <w:rPr>
          <w:rFonts w:ascii="楷体_GB2312" w:eastAsia="楷体_GB2312"/>
          <w:sz w:val="32"/>
          <w:szCs w:val="32"/>
        </w:rPr>
      </w:pPr>
      <w:r>
        <w:rPr>
          <w:rFonts w:hint="eastAsia" w:ascii="楷体_GB2312" w:eastAsia="楷体_GB2312"/>
          <w:sz w:val="32"/>
          <w:szCs w:val="32"/>
        </w:rPr>
        <w:t>（一）项目定位</w:t>
      </w:r>
    </w:p>
    <w:p w14:paraId="78AF84B2">
      <w:pPr>
        <w:spacing w:line="560" w:lineRule="exact"/>
        <w:ind w:firstLine="640" w:firstLineChars="200"/>
        <w:rPr>
          <w:rFonts w:ascii="仿宋_GB2312" w:eastAsia="仿宋_GB2312"/>
          <w:sz w:val="32"/>
          <w:szCs w:val="32"/>
        </w:rPr>
      </w:pPr>
      <w:r>
        <w:rPr>
          <w:rFonts w:ascii="仿宋_GB2312" w:eastAsia="仿宋_GB2312"/>
          <w:sz w:val="32"/>
          <w:szCs w:val="32"/>
        </w:rPr>
        <w:t>建设跨学院、跨行业</w:t>
      </w:r>
      <w:r>
        <w:rPr>
          <w:rFonts w:hint="eastAsia" w:ascii="仿宋_GB2312" w:eastAsia="仿宋_GB2312"/>
          <w:sz w:val="32"/>
          <w:szCs w:val="32"/>
        </w:rPr>
        <w:t>、</w:t>
      </w:r>
      <w:r>
        <w:rPr>
          <w:rFonts w:ascii="仿宋_GB2312" w:eastAsia="仿宋_GB2312"/>
          <w:sz w:val="32"/>
          <w:szCs w:val="32"/>
        </w:rPr>
        <w:t>线上线下融合型虚拟教研室，打造高效协同的教师教学共同体，实现教学资源的共建共享和教学创新的持续推进，推动</w:t>
      </w:r>
      <w:r>
        <w:rPr>
          <w:rFonts w:hint="eastAsia" w:ascii="仿宋_GB2312" w:eastAsia="仿宋_GB2312"/>
          <w:sz w:val="32"/>
          <w:szCs w:val="32"/>
        </w:rPr>
        <w:t>“工商一体化”人才培养</w:t>
      </w:r>
      <w:r>
        <w:rPr>
          <w:rFonts w:ascii="仿宋_GB2312" w:eastAsia="仿宋_GB2312"/>
          <w:sz w:val="32"/>
          <w:szCs w:val="32"/>
        </w:rPr>
        <w:t>水平整体提升。</w:t>
      </w:r>
    </w:p>
    <w:p w14:paraId="74F7CAF5">
      <w:pPr>
        <w:spacing w:line="560" w:lineRule="exact"/>
        <w:ind w:firstLine="640" w:firstLineChars="200"/>
        <w:rPr>
          <w:rFonts w:ascii="楷体_GB2312" w:eastAsia="楷体_GB2312"/>
          <w:sz w:val="32"/>
          <w:szCs w:val="32"/>
        </w:rPr>
      </w:pPr>
      <w:r>
        <w:rPr>
          <w:rFonts w:hint="eastAsia" w:ascii="楷体_GB2312" w:eastAsia="楷体_GB2312"/>
          <w:sz w:val="32"/>
          <w:szCs w:val="32"/>
        </w:rPr>
        <w:t>（二）基本思路</w:t>
      </w:r>
    </w:p>
    <w:p w14:paraId="50DFD1B8">
      <w:pPr>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组建涵盖专业教师、企业专家、行业导师的跨界教学团队；</w:t>
      </w:r>
    </w:p>
    <w:p w14:paraId="23A74E9A">
      <w:pPr>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搭建虚拟教研平台，实现课程资源、教学经验、教学案例的共享与交流；</w:t>
      </w:r>
    </w:p>
    <w:p w14:paraId="00D6ED84">
      <w:pPr>
        <w:spacing w:line="560" w:lineRule="exact"/>
        <w:ind w:firstLine="640" w:firstLineChars="200"/>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组织线上线下混合教研活动，包括教学研讨、课程共建、教学改革实践；</w:t>
      </w:r>
    </w:p>
    <w:p w14:paraId="2F0511DE">
      <w:pPr>
        <w:spacing w:line="560" w:lineRule="exact"/>
        <w:ind w:firstLine="640" w:firstLineChars="200"/>
        <w:rPr>
          <w:rFonts w:ascii="仿宋_GB2312" w:eastAsia="仿宋_GB2312"/>
          <w:sz w:val="32"/>
          <w:szCs w:val="32"/>
        </w:rPr>
      </w:pPr>
      <w:r>
        <w:rPr>
          <w:rFonts w:hint="eastAsia" w:ascii="仿宋_GB2312" w:eastAsia="仿宋_GB2312"/>
          <w:sz w:val="32"/>
          <w:szCs w:val="32"/>
        </w:rPr>
        <w:t>4</w:t>
      </w:r>
      <w:r>
        <w:rPr>
          <w:rFonts w:ascii="仿宋_GB2312" w:eastAsia="仿宋_GB2312"/>
          <w:sz w:val="32"/>
          <w:szCs w:val="32"/>
        </w:rPr>
        <w:t>.</w:t>
      </w:r>
      <w:r>
        <w:rPr>
          <w:rFonts w:hint="eastAsia" w:ascii="仿宋_GB2312" w:eastAsia="仿宋_GB2312"/>
          <w:sz w:val="32"/>
          <w:szCs w:val="32"/>
        </w:rPr>
        <w:t>深入开展企业实践教学内容设计与校企联合教学。</w:t>
      </w:r>
    </w:p>
    <w:p w14:paraId="5BB8BAEE">
      <w:pPr>
        <w:spacing w:line="560" w:lineRule="exact"/>
        <w:ind w:firstLine="640" w:firstLineChars="200"/>
        <w:rPr>
          <w:rFonts w:ascii="楷体_GB2312" w:eastAsia="楷体_GB2312"/>
          <w:sz w:val="32"/>
          <w:szCs w:val="32"/>
        </w:rPr>
      </w:pPr>
      <w:r>
        <w:rPr>
          <w:rFonts w:hint="eastAsia" w:ascii="楷体_GB2312" w:eastAsia="楷体_GB2312"/>
          <w:sz w:val="32"/>
          <w:szCs w:val="32"/>
        </w:rPr>
        <w:t>（三）</w:t>
      </w:r>
      <w:r>
        <w:rPr>
          <w:rFonts w:ascii="楷体_GB2312" w:eastAsia="楷体_GB2312"/>
          <w:sz w:val="32"/>
          <w:szCs w:val="32"/>
        </w:rPr>
        <w:t>申报条件</w:t>
      </w:r>
    </w:p>
    <w:p w14:paraId="5ED9A989">
      <w:pPr>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至少包括工科和商科的2个</w:t>
      </w:r>
      <w:r>
        <w:rPr>
          <w:rFonts w:ascii="仿宋_GB2312" w:eastAsia="仿宋_GB2312"/>
          <w:sz w:val="32"/>
          <w:szCs w:val="32"/>
        </w:rPr>
        <w:t>以上</w:t>
      </w:r>
      <w:r>
        <w:rPr>
          <w:rFonts w:hint="eastAsia" w:ascii="仿宋_GB2312" w:eastAsia="仿宋_GB2312"/>
          <w:sz w:val="32"/>
          <w:szCs w:val="32"/>
        </w:rPr>
        <w:t>教学</w:t>
      </w:r>
      <w:r>
        <w:rPr>
          <w:rFonts w:ascii="仿宋_GB2312" w:eastAsia="仿宋_GB2312"/>
          <w:sz w:val="32"/>
          <w:szCs w:val="32"/>
        </w:rPr>
        <w:t>单位联合组成教研团队，其中含企业或行业专家；</w:t>
      </w:r>
    </w:p>
    <w:p w14:paraId="06885F7D">
      <w:pPr>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团队负责人应具备丰富教学及教研经验；</w:t>
      </w:r>
    </w:p>
    <w:p w14:paraId="52230C1E">
      <w:pPr>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团队成员具备持续参与线上线下教学研讨的能力和条件。</w:t>
      </w:r>
    </w:p>
    <w:p w14:paraId="2594AFA5">
      <w:pPr>
        <w:spacing w:line="560" w:lineRule="exact"/>
        <w:ind w:firstLine="640" w:firstLineChars="200"/>
        <w:rPr>
          <w:rFonts w:ascii="楷体_GB2312" w:eastAsia="楷体_GB2312"/>
          <w:sz w:val="32"/>
          <w:szCs w:val="32"/>
        </w:rPr>
      </w:pPr>
      <w:r>
        <w:rPr>
          <w:rFonts w:hint="eastAsia" w:ascii="楷体_GB2312" w:eastAsia="楷体_GB2312"/>
          <w:sz w:val="32"/>
          <w:szCs w:val="32"/>
        </w:rPr>
        <w:t>（四）</w:t>
      </w:r>
      <w:r>
        <w:rPr>
          <w:rFonts w:ascii="楷体_GB2312" w:eastAsia="楷体_GB2312"/>
          <w:sz w:val="32"/>
          <w:szCs w:val="32"/>
        </w:rPr>
        <w:t>预期成果</w:t>
      </w:r>
    </w:p>
    <w:p w14:paraId="13DB046B">
      <w:pPr>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建立虚拟教研室运行机制，组建并开展教研活动；</w:t>
      </w:r>
    </w:p>
    <w:p w14:paraId="7D5F77DF">
      <w:pPr>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开展</w:t>
      </w:r>
      <w:r>
        <w:rPr>
          <w:rFonts w:ascii="仿宋_GB2312" w:eastAsia="仿宋_GB2312"/>
          <w:sz w:val="32"/>
          <w:szCs w:val="32"/>
        </w:rPr>
        <w:t>2次以上教学研讨/课程共建活动，形成1-2个教学案例或课程设计成果；</w:t>
      </w:r>
    </w:p>
    <w:p w14:paraId="11F405B2">
      <w:pPr>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发布初步教学资源不少于</w:t>
      </w:r>
      <w:r>
        <w:rPr>
          <w:rFonts w:ascii="仿宋_GB2312" w:eastAsia="仿宋_GB2312"/>
          <w:sz w:val="32"/>
          <w:szCs w:val="32"/>
        </w:rPr>
        <w:t>2项；</w:t>
      </w:r>
    </w:p>
    <w:p w14:paraId="6C3E8EE7">
      <w:pPr>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输出教研活动总结与典型问题反馈报告</w:t>
      </w:r>
      <w:r>
        <w:rPr>
          <w:rFonts w:ascii="仿宋_GB2312" w:eastAsia="仿宋_GB2312"/>
          <w:sz w:val="32"/>
          <w:szCs w:val="32"/>
        </w:rPr>
        <w:t>1份。</w:t>
      </w:r>
    </w:p>
    <w:bookmarkEnd w:id="0"/>
    <w:p w14:paraId="564F3BC5">
      <w:pPr>
        <w:spacing w:line="560" w:lineRule="exact"/>
        <w:ind w:firstLine="640" w:firstLineChars="200"/>
        <w:rPr>
          <w:rFonts w:ascii="黑体" w:hAnsi="黑体" w:eastAsia="黑体"/>
          <w:sz w:val="32"/>
          <w:szCs w:val="32"/>
        </w:rPr>
      </w:pPr>
      <w:bookmarkStart w:id="4" w:name="OLE_LINK2"/>
      <w:r>
        <w:rPr>
          <w:rFonts w:hint="eastAsia" w:ascii="黑体" w:hAnsi="黑体" w:eastAsia="黑体"/>
          <w:sz w:val="32"/>
          <w:szCs w:val="32"/>
        </w:rPr>
        <w:t>五、“工商一体化”创新实践建设专项</w:t>
      </w:r>
    </w:p>
    <w:bookmarkEnd w:id="4"/>
    <w:p w14:paraId="7E083B50">
      <w:pPr>
        <w:spacing w:line="560" w:lineRule="exact"/>
        <w:ind w:firstLine="640" w:firstLineChars="200"/>
        <w:rPr>
          <w:rFonts w:ascii="楷体_GB2312" w:eastAsia="楷体_GB2312"/>
          <w:sz w:val="32"/>
          <w:szCs w:val="32"/>
        </w:rPr>
      </w:pPr>
      <w:r>
        <w:rPr>
          <w:rFonts w:hint="eastAsia" w:ascii="楷体_GB2312" w:eastAsia="楷体_GB2312"/>
          <w:sz w:val="32"/>
          <w:szCs w:val="32"/>
        </w:rPr>
        <w:t>（一）项目定位</w:t>
      </w:r>
    </w:p>
    <w:p w14:paraId="7F9891B5">
      <w:pPr>
        <w:spacing w:line="560" w:lineRule="exact"/>
        <w:ind w:firstLine="640" w:firstLineChars="200"/>
        <w:rPr>
          <w:rFonts w:ascii="楷体_GB2312" w:eastAsia="楷体_GB2312"/>
          <w:sz w:val="32"/>
          <w:szCs w:val="32"/>
        </w:rPr>
      </w:pPr>
      <w:r>
        <w:rPr>
          <w:rFonts w:hint="eastAsia" w:ascii="仿宋_GB2312" w:hAnsi="方正仿宋_GB2312" w:eastAsia="仿宋_GB2312" w:cs="方正仿宋_GB2312"/>
          <w:sz w:val="32"/>
          <w:szCs w:val="32"/>
        </w:rPr>
        <w:t>突出项目导向和团队协作，整合产教融合平台、校企联合项目和创新创业实训课程，强化跨学科知识的综合应用能力。</w:t>
      </w:r>
    </w:p>
    <w:p w14:paraId="474179EB">
      <w:pPr>
        <w:spacing w:line="560" w:lineRule="exact"/>
        <w:ind w:firstLine="640" w:firstLineChars="200"/>
        <w:rPr>
          <w:rFonts w:ascii="楷体_GB2312" w:eastAsia="楷体_GB2312"/>
          <w:sz w:val="32"/>
          <w:szCs w:val="32"/>
        </w:rPr>
      </w:pPr>
      <w:r>
        <w:rPr>
          <w:rFonts w:hint="eastAsia" w:ascii="楷体_GB2312" w:eastAsia="楷体_GB2312"/>
          <w:sz w:val="32"/>
          <w:szCs w:val="32"/>
        </w:rPr>
        <w:t>（二）基本思路</w:t>
      </w:r>
    </w:p>
    <w:p w14:paraId="60E0E638">
      <w:pPr>
        <w:pStyle w:val="4"/>
        <w:widowControl w:val="0"/>
        <w:shd w:val="clear" w:color="auto" w:fill="FFFFFF"/>
        <w:spacing w:before="0" w:beforeAutospacing="0" w:after="0" w:afterAutospacing="0" w:line="560" w:lineRule="exact"/>
        <w:ind w:firstLine="640" w:firstLineChars="200"/>
        <w:jc w:val="both"/>
        <w:rPr>
          <w:rFonts w:ascii="仿宋_GB2312" w:hAnsi="方正仿宋_GB2312" w:eastAsia="仿宋_GB2312" w:cs="方正仿宋_GB2312"/>
          <w:sz w:val="32"/>
          <w:szCs w:val="32"/>
        </w:rPr>
      </w:pPr>
      <w:r>
        <w:rPr>
          <w:rFonts w:hint="eastAsia" w:ascii="仿宋_GB2312" w:hAnsi="方正仿宋_GB2312" w:eastAsia="仿宋_GB2312" w:cs="方正仿宋_GB2312"/>
          <w:sz w:val="32"/>
          <w:szCs w:val="32"/>
        </w:rPr>
        <w:t>1</w:t>
      </w:r>
      <w:r>
        <w:rPr>
          <w:rFonts w:ascii="仿宋_GB2312" w:hAnsi="方正仿宋_GB2312" w:eastAsia="仿宋_GB2312" w:cs="方正仿宋_GB2312"/>
          <w:sz w:val="32"/>
          <w:szCs w:val="32"/>
        </w:rPr>
        <w:t>.</w:t>
      </w:r>
      <w:r>
        <w:rPr>
          <w:rFonts w:hint="eastAsia" w:ascii="仿宋_GB2312" w:hAnsi="方正仿宋_GB2312" w:eastAsia="仿宋_GB2312" w:cs="方正仿宋_GB2312"/>
          <w:sz w:val="32"/>
          <w:szCs w:val="32"/>
        </w:rPr>
        <w:t>推进课程与实践深度融合，建设若干跨学科综合实践项目或工作坊，为学生提供跨学科、多场景、多角色的真实学习体验，构建贯通学科界限、促进知识迁移的育人生态；</w:t>
      </w:r>
    </w:p>
    <w:p w14:paraId="663D833F">
      <w:pPr>
        <w:pStyle w:val="4"/>
        <w:widowControl w:val="0"/>
        <w:shd w:val="clear" w:color="auto" w:fill="FFFFFF"/>
        <w:spacing w:before="0" w:beforeAutospacing="0" w:after="0" w:afterAutospacing="0" w:line="560" w:lineRule="exact"/>
        <w:ind w:firstLine="640" w:firstLineChars="200"/>
        <w:jc w:val="both"/>
        <w:rPr>
          <w:rFonts w:ascii="仿宋_GB2312" w:eastAsia="仿宋_GB2312"/>
          <w:sz w:val="32"/>
          <w:szCs w:val="32"/>
        </w:rPr>
      </w:pPr>
      <w:r>
        <w:rPr>
          <w:rFonts w:ascii="仿宋_GB2312" w:hAnsi="仿宋_GB2312" w:eastAsia="仿宋_GB2312" w:cs="仿宋_GB2312"/>
          <w:sz w:val="32"/>
          <w:szCs w:val="32"/>
        </w:rPr>
        <w:t>2.</w:t>
      </w:r>
      <w:r>
        <w:rPr>
          <w:rFonts w:hint="eastAsia" w:ascii="仿宋_GB2312" w:hAnsi="仿宋_GB2312" w:eastAsia="仿宋_GB2312" w:cs="仿宋_GB2312"/>
          <w:sz w:val="32"/>
          <w:szCs w:val="32"/>
        </w:rPr>
        <w:t>建设“项目孵化+教学融合”平台，推动课程教学与创新创业项目深度融合；</w:t>
      </w:r>
    </w:p>
    <w:p w14:paraId="01BA713A">
      <w:pPr>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打造“工商一体化”创新创业训练与辅导机制。</w:t>
      </w:r>
    </w:p>
    <w:p w14:paraId="68966EFF">
      <w:pPr>
        <w:spacing w:line="560" w:lineRule="exact"/>
        <w:ind w:firstLine="640" w:firstLineChars="200"/>
        <w:rPr>
          <w:rFonts w:ascii="楷体_GB2312" w:eastAsia="楷体_GB2312"/>
          <w:sz w:val="32"/>
          <w:szCs w:val="32"/>
        </w:rPr>
      </w:pPr>
      <w:r>
        <w:rPr>
          <w:rFonts w:hint="eastAsia" w:ascii="楷体_GB2312" w:eastAsia="楷体_GB2312"/>
          <w:sz w:val="32"/>
          <w:szCs w:val="32"/>
        </w:rPr>
        <w:t>（三）申报条件</w:t>
      </w:r>
    </w:p>
    <w:p w14:paraId="53E21684">
      <w:pPr>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牵头单位需具备实践教学基地或实验平台；</w:t>
      </w:r>
    </w:p>
    <w:p w14:paraId="74AF4CC2">
      <w:pPr>
        <w:spacing w:line="56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具有行业合作单位；</w:t>
      </w:r>
    </w:p>
    <w:p w14:paraId="4D3B406D">
      <w:pPr>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项目负责人具备创新实践管理、实际项目指导或学生创业辅导经验。</w:t>
      </w:r>
    </w:p>
    <w:p w14:paraId="75238563">
      <w:pPr>
        <w:spacing w:line="560" w:lineRule="exact"/>
        <w:ind w:firstLine="640" w:firstLineChars="200"/>
        <w:rPr>
          <w:rFonts w:ascii="楷体_GB2312" w:eastAsia="楷体_GB2312"/>
          <w:sz w:val="32"/>
          <w:szCs w:val="32"/>
        </w:rPr>
      </w:pPr>
      <w:r>
        <w:rPr>
          <w:rFonts w:hint="eastAsia" w:ascii="楷体_GB2312" w:eastAsia="楷体_GB2312"/>
          <w:sz w:val="32"/>
          <w:szCs w:val="32"/>
        </w:rPr>
        <w:t>（四）预期成果</w:t>
      </w:r>
    </w:p>
    <w:p w14:paraId="262E4B07">
      <w:pPr>
        <w:spacing w:line="560" w:lineRule="exact"/>
        <w:ind w:firstLine="640" w:firstLineChars="200"/>
        <w:rPr>
          <w:rFonts w:ascii="仿宋_GB2312" w:eastAsia="仿宋_GB2312"/>
          <w:sz w:val="32"/>
          <w:szCs w:val="32"/>
        </w:rPr>
      </w:pPr>
      <w:r>
        <w:rPr>
          <w:rFonts w:hint="eastAsia" w:ascii="仿宋_GB2312" w:eastAsia="仿宋_GB2312"/>
          <w:sz w:val="32"/>
          <w:szCs w:val="32"/>
        </w:rPr>
        <w:t>1</w:t>
      </w:r>
      <w:r>
        <w:rPr>
          <w:rFonts w:ascii="仿宋_GB2312" w:eastAsia="仿宋_GB2312"/>
          <w:sz w:val="32"/>
          <w:szCs w:val="32"/>
        </w:rPr>
        <w:t>.</w:t>
      </w:r>
      <w:r>
        <w:rPr>
          <w:rFonts w:hint="eastAsia" w:ascii="仿宋_GB2312" w:eastAsia="仿宋_GB2312"/>
          <w:sz w:val="32"/>
          <w:szCs w:val="32"/>
        </w:rPr>
        <w:t>设计并实施</w:t>
      </w:r>
      <w:r>
        <w:rPr>
          <w:rFonts w:ascii="仿宋_GB2312" w:eastAsia="仿宋_GB2312"/>
          <w:sz w:val="32"/>
          <w:szCs w:val="32"/>
        </w:rPr>
        <w:t>1个跨学科实践项目或工作坊，并完成学生参与与评价；</w:t>
      </w:r>
    </w:p>
    <w:p w14:paraId="1A632507">
      <w:pPr>
        <w:spacing w:line="560" w:lineRule="exact"/>
        <w:ind w:firstLine="640" w:firstLineChars="200"/>
        <w:rPr>
          <w:rFonts w:ascii="仿宋_GB2312" w:eastAsia="仿宋_GB2312"/>
          <w:sz w:val="32"/>
          <w:szCs w:val="32"/>
        </w:rPr>
      </w:pPr>
      <w:r>
        <w:rPr>
          <w:rFonts w:hint="eastAsia" w:ascii="仿宋_GB2312" w:eastAsia="仿宋_GB2312"/>
          <w:sz w:val="32"/>
          <w:szCs w:val="32"/>
        </w:rPr>
        <w:t>2</w:t>
      </w:r>
      <w:r>
        <w:rPr>
          <w:rFonts w:ascii="仿宋_GB2312" w:eastAsia="仿宋_GB2312"/>
          <w:sz w:val="32"/>
          <w:szCs w:val="32"/>
        </w:rPr>
        <w:t>.</w:t>
      </w:r>
      <w:r>
        <w:rPr>
          <w:rFonts w:hint="eastAsia" w:ascii="仿宋_GB2312" w:eastAsia="仿宋_GB2312"/>
          <w:sz w:val="32"/>
          <w:szCs w:val="32"/>
        </w:rPr>
        <w:t>指导学生完成</w:t>
      </w:r>
      <w:r>
        <w:rPr>
          <w:rFonts w:ascii="仿宋_GB2312" w:eastAsia="仿宋_GB2312"/>
          <w:sz w:val="32"/>
          <w:szCs w:val="32"/>
        </w:rPr>
        <w:t>1项企业课题对接或创新创业方案设计；</w:t>
      </w:r>
    </w:p>
    <w:p w14:paraId="01F4191E">
      <w:pPr>
        <w:spacing w:line="560" w:lineRule="exact"/>
        <w:ind w:firstLine="640" w:firstLineChars="200"/>
        <w:rPr>
          <w:rFonts w:ascii="仿宋_GB2312" w:eastAsia="仿宋_GB2312"/>
          <w:sz w:val="32"/>
          <w:szCs w:val="32"/>
        </w:rPr>
      </w:pPr>
      <w:r>
        <w:rPr>
          <w:rFonts w:hint="eastAsia" w:ascii="仿宋_GB2312" w:eastAsia="仿宋_GB2312"/>
          <w:sz w:val="32"/>
          <w:szCs w:val="32"/>
        </w:rPr>
        <w:t>3</w:t>
      </w:r>
      <w:r>
        <w:rPr>
          <w:rFonts w:ascii="仿宋_GB2312" w:eastAsia="仿宋_GB2312"/>
          <w:sz w:val="32"/>
          <w:szCs w:val="32"/>
        </w:rPr>
        <w:t>.</w:t>
      </w:r>
      <w:r>
        <w:rPr>
          <w:rFonts w:hint="eastAsia" w:ascii="仿宋_GB2312" w:eastAsia="仿宋_GB2312"/>
          <w:sz w:val="32"/>
          <w:szCs w:val="32"/>
        </w:rPr>
        <w:t>建设实践教学标准或实施指南初稿</w:t>
      </w:r>
      <w:r>
        <w:rPr>
          <w:rFonts w:ascii="仿宋_GB2312" w:eastAsia="仿宋_GB2312"/>
          <w:sz w:val="32"/>
          <w:szCs w:val="32"/>
        </w:rPr>
        <w:t>1份；</w:t>
      </w:r>
    </w:p>
    <w:p w14:paraId="58C73DCF">
      <w:pPr>
        <w:spacing w:line="560" w:lineRule="exact"/>
        <w:ind w:firstLine="640" w:firstLineChars="200"/>
        <w:rPr>
          <w:rFonts w:ascii="仿宋_GB2312" w:eastAsia="仿宋_GB2312"/>
          <w:sz w:val="32"/>
          <w:szCs w:val="32"/>
        </w:rPr>
      </w:pPr>
      <w:r>
        <w:rPr>
          <w:rFonts w:hint="eastAsia" w:ascii="仿宋_GB2312" w:eastAsia="仿宋_GB2312"/>
          <w:sz w:val="32"/>
          <w:szCs w:val="32"/>
        </w:rPr>
        <w:t>4</w:t>
      </w:r>
      <w:r>
        <w:rPr>
          <w:rFonts w:ascii="仿宋_GB2312" w:eastAsia="仿宋_GB2312"/>
          <w:sz w:val="32"/>
          <w:szCs w:val="32"/>
        </w:rPr>
        <w:t>.</w:t>
      </w:r>
      <w:r>
        <w:rPr>
          <w:rFonts w:hint="eastAsia" w:ascii="仿宋_GB2312" w:eastAsia="仿宋_GB2312"/>
          <w:sz w:val="32"/>
          <w:szCs w:val="32"/>
        </w:rPr>
        <w:t>完成</w:t>
      </w:r>
      <w:r>
        <w:rPr>
          <w:rFonts w:ascii="仿宋_GB2312" w:eastAsia="仿宋_GB2312"/>
          <w:sz w:val="32"/>
          <w:szCs w:val="32"/>
        </w:rPr>
        <w:t>1项创新创业竞赛、项目申报或初步孵化活动。</w:t>
      </w:r>
    </w:p>
    <w:p w14:paraId="26A1F119">
      <w:pPr>
        <w:spacing w:line="560" w:lineRule="exact"/>
        <w:ind w:firstLine="640" w:firstLineChars="200"/>
        <w:rPr>
          <w:rFonts w:ascii="仿宋_GB2312" w:eastAsia="仿宋_GB2312"/>
          <w:sz w:val="32"/>
          <w:szCs w:val="32"/>
        </w:rPr>
      </w:pPr>
      <w:r>
        <w:rPr>
          <w:rFonts w:hint="eastAsia" w:ascii="楷体_GB2312" w:eastAsia="楷体_GB2312"/>
          <w:sz w:val="32"/>
          <w:szCs w:val="32"/>
        </w:rPr>
        <w:t>其他要求：申报项目须对标《北京工商大学“工商一体化”本科人才培养指导意见》确定的指导思想、基本原则与发展目标要求，结合本单位特色，系统设计并实施相关建设内容。</w:t>
      </w:r>
      <w:bookmarkStart w:id="5" w:name="_GoBack"/>
      <w:bookmarkEnd w:id="5"/>
    </w:p>
    <w:sectPr>
      <w:footerReference r:id="rId3" w:type="default"/>
      <w:pgSz w:w="11906" w:h="16838"/>
      <w:pgMar w:top="2041" w:right="1531"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2312">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eastAsia" w:ascii="仿宋_GB2312" w:eastAsia="仿宋_GB2312"/>
        <w:sz w:val="28"/>
        <w:szCs w:val="28"/>
      </w:rPr>
      <w:id w:val="1164898389"/>
      <w:docPartObj>
        <w:docPartGallery w:val="AutoText"/>
      </w:docPartObj>
    </w:sdtPr>
    <w:sdtEndPr>
      <w:rPr>
        <w:rFonts w:hint="eastAsia" w:ascii="仿宋_GB2312" w:eastAsia="仿宋_GB2312"/>
        <w:sz w:val="28"/>
        <w:szCs w:val="28"/>
      </w:rPr>
    </w:sdtEndPr>
    <w:sdtContent>
      <w:p w14:paraId="7658FB60">
        <w:pPr>
          <w:pStyle w:val="2"/>
          <w:jc w:val="center"/>
          <w:rPr>
            <w:rFonts w:ascii="仿宋_GB2312" w:eastAsia="仿宋_GB2312"/>
            <w:sz w:val="28"/>
            <w:szCs w:val="28"/>
          </w:rPr>
        </w:pP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hint="eastAsia" w:ascii="仿宋_GB2312" w:eastAsia="仿宋_GB2312"/>
            <w:sz w:val="28"/>
            <w:szCs w:val="28"/>
            <w:lang w:val="zh-CN"/>
          </w:rPr>
          <w:t>2</w:t>
        </w:r>
        <w:r>
          <w:rPr>
            <w:rFonts w:hint="eastAsia" w:ascii="仿宋_GB2312" w:eastAsia="仿宋_GB2312"/>
            <w:sz w:val="28"/>
            <w:szCs w:val="28"/>
          </w:rPr>
          <w:fldChar w:fldCharType="end"/>
        </w:r>
      </w:p>
    </w:sdtContent>
  </w:sdt>
  <w:p w14:paraId="5709E158">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4DC"/>
    <w:rsid w:val="00085DA7"/>
    <w:rsid w:val="000B3E04"/>
    <w:rsid w:val="00107F1F"/>
    <w:rsid w:val="001652E6"/>
    <w:rsid w:val="001A6878"/>
    <w:rsid w:val="0023699A"/>
    <w:rsid w:val="002B2DB7"/>
    <w:rsid w:val="002B3E1C"/>
    <w:rsid w:val="002D01FA"/>
    <w:rsid w:val="002F3634"/>
    <w:rsid w:val="00321C61"/>
    <w:rsid w:val="003551FD"/>
    <w:rsid w:val="003658FB"/>
    <w:rsid w:val="003A60F6"/>
    <w:rsid w:val="00404BD0"/>
    <w:rsid w:val="00412858"/>
    <w:rsid w:val="00525FE7"/>
    <w:rsid w:val="0059192B"/>
    <w:rsid w:val="006009EF"/>
    <w:rsid w:val="006164DC"/>
    <w:rsid w:val="0069024A"/>
    <w:rsid w:val="006B557A"/>
    <w:rsid w:val="006D1940"/>
    <w:rsid w:val="0072058A"/>
    <w:rsid w:val="007617D4"/>
    <w:rsid w:val="007762D6"/>
    <w:rsid w:val="00853DE8"/>
    <w:rsid w:val="00894A69"/>
    <w:rsid w:val="008B751E"/>
    <w:rsid w:val="008E2130"/>
    <w:rsid w:val="00943746"/>
    <w:rsid w:val="00964E09"/>
    <w:rsid w:val="009E2C85"/>
    <w:rsid w:val="00A03FF1"/>
    <w:rsid w:val="00A204FF"/>
    <w:rsid w:val="00A206B7"/>
    <w:rsid w:val="00A33A95"/>
    <w:rsid w:val="00AB731C"/>
    <w:rsid w:val="00B125D6"/>
    <w:rsid w:val="00B45665"/>
    <w:rsid w:val="00BB2C67"/>
    <w:rsid w:val="00C104ED"/>
    <w:rsid w:val="00CF1A81"/>
    <w:rsid w:val="00CF30DC"/>
    <w:rsid w:val="00D25FA5"/>
    <w:rsid w:val="00D31034"/>
    <w:rsid w:val="00DD5D1F"/>
    <w:rsid w:val="00E662A1"/>
    <w:rsid w:val="00F21F6D"/>
    <w:rsid w:val="00F469E0"/>
    <w:rsid w:val="51742C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2216</Words>
  <Characters>2267</Characters>
  <Lines>16</Lines>
  <Paragraphs>4</Paragraphs>
  <TotalTime>268</TotalTime>
  <ScaleCrop>false</ScaleCrop>
  <LinksUpToDate>false</LinksUpToDate>
  <CharactersWithSpaces>2268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2025-05-19T15:15:00Z</dcterms:created>
  <dc:creator>webuser</dc:creator>
  <cp:lastModifiedBy>樱小桃</cp:lastModifiedBy>
  <cp:lastPrinted>2025-06-12T06:41:55Z</cp:lastPrinted>
  <dcterms:modified xsi:type="dcterms:W3CDTF">2025-06-12T07:06:27Z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eyJoZGlkIjoiMjIwN2JkMTkyODk3YzlkZGIyMjQ3MGI0NGQ3N2NjNWYiLCJ1c2VySWQiOiIyMzg5OTYyMDIifQ==</vt:lpwstr>
  </property>
  <property fmtid="{D5CDD505-2E9C-101B-9397-08002B2CF9AE}" pid="3" name="KSOProductBuildVer">
    <vt:lpwstr>2052-12.1.0.20784</vt:lpwstr>
  </property>
  <property fmtid="{D5CDD505-2E9C-101B-9397-08002B2CF9AE}" pid="4" name="ICV">
    <vt:lpwstr>7F2E8C8ED66447EF83FEAC2C594FE7C5_13</vt:lpwstr>
  </property>
</Properties>
</file>